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4"/>
                <w:szCs w:val="22"/>
                <w:lang w:eastAsia="en-US" w:bidi="ar-SA"/>
              </w:rPr>
              <w:t xml:space="preserve">                                          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4"/>
                <w:szCs w:val="22"/>
                <w:lang w:eastAsia="en-US" w:bidi="ar-SA"/>
              </w:rPr>
              <w:t>PLANO DE CURSO</w:t>
            </w:r>
          </w:p>
        </w:tc>
      </w:tr>
    </w:tbl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2"/>
        <w:gridCol w:w="1182"/>
        <w:gridCol w:w="1418"/>
        <w:gridCol w:w="1328"/>
        <w:gridCol w:w="2117"/>
        <w:gridCol w:w="1554"/>
      </w:tblGrid>
      <w:tr>
        <w:trPr/>
        <w:tc>
          <w:tcPr>
            <w:tcW w:w="1462" w:type="dxa"/>
            <w:tcBorders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Centro:</w:t>
            </w:r>
          </w:p>
        </w:tc>
        <w:tc>
          <w:tcPr>
            <w:tcW w:w="759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Centro de Filosofia e Ciências Humanas </w:t>
            </w:r>
          </w:p>
        </w:tc>
      </w:tr>
      <w:tr>
        <w:trPr/>
        <w:tc>
          <w:tcPr>
            <w:tcW w:w="1462" w:type="dxa"/>
            <w:tcBorders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Curso:</w:t>
            </w:r>
          </w:p>
        </w:tc>
        <w:tc>
          <w:tcPr>
            <w:tcW w:w="759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Filosofia</w:t>
            </w:r>
          </w:p>
        </w:tc>
      </w:tr>
      <w:tr>
        <w:trPr/>
        <w:tc>
          <w:tcPr>
            <w:tcW w:w="1462" w:type="dxa"/>
            <w:tcBorders/>
          </w:tcPr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Disciplina:</w:t>
            </w:r>
          </w:p>
        </w:tc>
        <w:tc>
          <w:tcPr>
            <w:tcW w:w="759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Antropologia I</w:t>
            </w:r>
          </w:p>
        </w:tc>
      </w:tr>
      <w:tr>
        <w:trPr/>
        <w:tc>
          <w:tcPr>
            <w:tcW w:w="146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Carga Horária total</w:t>
            </w:r>
          </w:p>
        </w:tc>
        <w:tc>
          <w:tcPr>
            <w:tcW w:w="759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Atividades</w:t>
            </w:r>
          </w:p>
        </w:tc>
      </w:tr>
      <w:tr>
        <w:trPr/>
        <w:tc>
          <w:tcPr>
            <w:tcW w:w="146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Síncronas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Assíncronas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Presenciais</w:t>
            </w:r>
          </w:p>
        </w:tc>
        <w:tc>
          <w:tcPr>
            <w:tcW w:w="367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 atendimento ao aluno</w:t>
            </w:r>
          </w:p>
        </w:tc>
      </w:tr>
      <w:tr>
        <w:trPr/>
        <w:tc>
          <w:tcPr>
            <w:tcW w:w="146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24 horas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24 horas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-</w:t>
            </w:r>
          </w:p>
        </w:tc>
        <w:tc>
          <w:tcPr>
            <w:tcW w:w="367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12 horas</w:t>
            </w:r>
          </w:p>
        </w:tc>
      </w:tr>
      <w:tr>
        <w:trPr/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Código:</w:t>
            </w:r>
          </w:p>
        </w:tc>
        <w:tc>
          <w:tcPr>
            <w:tcW w:w="39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CFCH005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Créditos: 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4-0-0</w:t>
            </w:r>
          </w:p>
        </w:tc>
      </w:tr>
      <w:tr>
        <w:trPr/>
        <w:tc>
          <w:tcPr>
            <w:tcW w:w="1462" w:type="dxa"/>
            <w:tcBorders/>
          </w:tcPr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Professor(a):</w:t>
            </w:r>
          </w:p>
        </w:tc>
        <w:tc>
          <w:tcPr>
            <w:tcW w:w="39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Fernando Peres 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Titulação: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Doutor</w:t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rFonts w:ascii="Arial" w:hAnsi="Arial" w:cs="Arial"/>
                <w:b/>
                <w:b/>
                <w:color w:val="000000" w:themeColor="text1"/>
                <w:spacing w:val="5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cs="Arial" w:ascii="Arial" w:hAnsi="Arial"/>
                <w:b/>
                <w:color w:val="000000" w:themeColor="text1"/>
                <w:spacing w:val="5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Ementa</w:t>
            </w:r>
            <w:r>
              <w:rPr>
                <w:rFonts w:cs="Arial" w:ascii="Arial" w:hAnsi="Arial"/>
                <w:b/>
                <w:color w:val="000000" w:themeColor="text1"/>
                <w:spacing w:val="55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0" w:after="0"/>
              <w:ind w:left="170" w:right="8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Antropologia como ciência. Estudo da antropologia: objeto e objetividade.  Evolução biológica e cultural do homem. Introdução às teorias antropológicas.</w:t>
            </w:r>
          </w:p>
          <w:p>
            <w:pPr>
              <w:pStyle w:val="TableParagraph"/>
              <w:widowControl w:val="false"/>
              <w:spacing w:before="0" w:after="0"/>
              <w:ind w:left="170" w:right="8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</w:tr>
    </w:tbl>
    <w:p>
      <w:pPr>
        <w:pStyle w:val="TableParagraph"/>
        <w:ind w:right="81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1"/>
      </w:tblGrid>
      <w:tr>
        <w:trPr>
          <w:trHeight w:val="728" w:hRule="atLeast"/>
        </w:trPr>
        <w:tc>
          <w:tcPr>
            <w:tcW w:w="9061" w:type="dxa"/>
            <w:tcBorders/>
          </w:tcPr>
          <w:p>
            <w:pPr>
              <w:pStyle w:val="TableParagraph"/>
              <w:widowControl w:val="false"/>
              <w:spacing w:before="0" w:after="0"/>
              <w:ind w:right="81" w:hanging="0"/>
              <w:jc w:val="both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2 - Objetivo Geral.</w:t>
            </w:r>
          </w:p>
          <w:p>
            <w:pPr>
              <w:pStyle w:val="TableParagraph"/>
              <w:widowControl w:val="false"/>
              <w:spacing w:before="0" w:after="0"/>
              <w:ind w:left="170"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Capacitar os estudantes a entender a constituição da cultura e da sociedade, das trocas e da reciprocidade positiva, pela superação da violência e da vingança pelo fenômeno do sacrifício é o objetivo principal do curso. </w:t>
            </w:r>
          </w:p>
          <w:p>
            <w:pPr>
              <w:pStyle w:val="TableParagraph"/>
              <w:widowControl w:val="false"/>
              <w:spacing w:before="0" w:after="0"/>
              <w:ind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ableParagraph"/>
        <w:ind w:left="107" w:hanging="0"/>
        <w:jc w:val="both"/>
        <w:rPr>
          <w:rFonts w:ascii="Arial" w:hAnsi="Arial" w:cs="Arial"/>
          <w:b/>
          <w:b/>
          <w:color w:val="000000" w:themeColor="text1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</w:r>
    </w:p>
    <w:p>
      <w:pPr>
        <w:sectPr>
          <w:type w:val="continuous"/>
          <w:pgSz w:w="11906" w:h="16838"/>
          <w:pgMar w:left="1701" w:right="1134" w:header="0" w:top="1701" w:footer="0" w:bottom="1134" w:gutter="0"/>
          <w:formProt w:val="false"/>
          <w:textDirection w:val="lrTb"/>
          <w:docGrid w:type="default" w:linePitch="360" w:charSpace="4096"/>
        </w:sectPr>
      </w:pP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0"/>
        <w:gridCol w:w="328"/>
        <w:gridCol w:w="656"/>
        <w:gridCol w:w="1133"/>
        <w:gridCol w:w="797"/>
        <w:gridCol w:w="757"/>
      </w:tblGrid>
      <w:tr>
        <w:trPr>
          <w:trHeight w:val="2193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3 Objetivos Específicos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>
            <w:pPr>
              <w:pStyle w:val="TableParagraph"/>
              <w:widowControl w:val="false"/>
              <w:spacing w:before="0" w:after="0"/>
              <w:ind w:left="170"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Capacitar os estudantes a entenderem as múltiplas dimensões do discurso antropológico – seu objeto, objetividade, suas múltiplas perspectivas - e sua serventia à psicologia através das seguintes questões: </w:t>
            </w:r>
          </w:p>
          <w:p>
            <w:pPr>
              <w:pStyle w:val="TableParagraph"/>
              <w:widowControl w:val="false"/>
              <w:spacing w:before="0" w:after="0"/>
              <w:ind w:left="170"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1) A experiência universal do Sacrifício, forma primordial do sagrado e das interdições, da linguagem e do pensamento, da cultura e da sociedade e, meio para equacionar a relação entre</w:t>
            </w:r>
          </w:p>
          <w:p>
            <w:pPr>
              <w:pStyle w:val="TableParagraph"/>
              <w:widowControl w:val="false"/>
              <w:spacing w:before="0" w:after="0"/>
              <w:ind w:left="170"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2) Desejo mimético e violência na sociedade e no indivíduo; como as afecções da alma como a inveja, o rancor e a vingança  </w:t>
            </w:r>
          </w:p>
          <w:p>
            <w:pPr>
              <w:pStyle w:val="TableParagraph"/>
              <w:widowControl w:val="false"/>
              <w:spacing w:before="0" w:after="0"/>
              <w:ind w:left="170" w:right="81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3) A constituição da diferença e a reciprocidade positiva da troca (o fenômeno do Dom) e a emergência do pensamento mágico. </w:t>
            </w:r>
          </w:p>
          <w:p>
            <w:pPr>
              <w:pStyle w:val="TableParagraph"/>
              <w:widowControl w:val="false"/>
              <w:spacing w:before="0" w:after="0"/>
              <w:ind w:left="17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4) A permanência da lógica mítica e sacrificial em nosso tempo, em nossa subjetividade: ou como o fenômeno religioso da idolatria se secularizou e a questão psicológica e social da paranoia,  patologia individual e coletiva, se atualiza (homofobia, racismo etc). 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4 Conteúdo Programático</w:t>
            </w:r>
          </w:p>
        </w:tc>
      </w:tr>
      <w:tr>
        <w:trPr>
          <w:trHeight w:val="170" w:hRule="atLeast"/>
        </w:trPr>
        <w:tc>
          <w:tcPr>
            <w:tcW w:w="5390" w:type="dxa"/>
            <w:vMerge w:val="restart"/>
            <w:tcBorders/>
          </w:tcPr>
          <w:p>
            <w:pPr>
              <w:pStyle w:val="TableParagraph"/>
              <w:widowControl w:val="false"/>
              <w:spacing w:before="0" w:after="0"/>
              <w:ind w:left="29" w:right="40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Unidades Temáticas</w:t>
            </w:r>
          </w:p>
          <w:p>
            <w:pPr>
              <w:pStyle w:val="TableParagraph"/>
              <w:widowControl w:val="false"/>
              <w:spacing w:before="0" w:after="0"/>
              <w:ind w:left="29" w:right="40" w:hang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71" w:type="dxa"/>
            <w:gridSpan w:val="5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C/H</w:t>
            </w:r>
          </w:p>
        </w:tc>
      </w:tr>
      <w:tr>
        <w:trPr>
          <w:trHeight w:val="330" w:hRule="atLeast"/>
        </w:trPr>
        <w:tc>
          <w:tcPr>
            <w:tcW w:w="5390" w:type="dxa"/>
            <w:vMerge w:val="continue"/>
            <w:tcBorders/>
          </w:tcPr>
          <w:p>
            <w:pPr>
              <w:pStyle w:val="TableParagraph"/>
              <w:widowControl w:val="false"/>
              <w:spacing w:before="0" w:after="0"/>
              <w:ind w:left="29" w:right="40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17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16"/>
                <w:szCs w:val="16"/>
                <w:lang w:eastAsia="en-US" w:bidi="ar-SA"/>
              </w:rPr>
              <w:t>Remoto</w:t>
            </w:r>
          </w:p>
        </w:tc>
        <w:tc>
          <w:tcPr>
            <w:tcW w:w="797" w:type="dxa"/>
            <w:vMerge w:val="restart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16"/>
                <w:szCs w:val="16"/>
                <w:lang w:eastAsia="en-US" w:bidi="ar-SA"/>
              </w:rPr>
              <w:t>Presencial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57" w:type="dxa"/>
            <w:vMerge w:val="restart"/>
            <w:tcBorders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16"/>
                <w:szCs w:val="16"/>
                <w:lang w:eastAsia="en-US" w:bidi="ar-SA"/>
              </w:rPr>
              <w:t>Atend. Aluno</w:t>
            </w:r>
          </w:p>
        </w:tc>
      </w:tr>
      <w:tr>
        <w:trPr>
          <w:trHeight w:val="212" w:hRule="atLeast"/>
        </w:trPr>
        <w:tc>
          <w:tcPr>
            <w:tcW w:w="5390" w:type="dxa"/>
            <w:vMerge w:val="continue"/>
            <w:tcBorders/>
          </w:tcPr>
          <w:p>
            <w:pPr>
              <w:pStyle w:val="TableParagraph"/>
              <w:widowControl w:val="false"/>
              <w:spacing w:before="0" w:after="0"/>
              <w:ind w:left="29" w:right="40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16"/>
                <w:szCs w:val="16"/>
                <w:lang w:eastAsia="en-US" w:bidi="ar-SA"/>
              </w:rPr>
              <w:t>Síncrona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16"/>
                <w:szCs w:val="16"/>
                <w:lang w:eastAsia="en-US" w:bidi="ar-SA"/>
              </w:rPr>
              <w:t>Assíncrona</w:t>
            </w:r>
          </w:p>
        </w:tc>
        <w:tc>
          <w:tcPr>
            <w:tcW w:w="797" w:type="dxa"/>
            <w:vMerge w:val="continue"/>
            <w:tcBorders/>
          </w:tcPr>
          <w:p>
            <w:pPr>
              <w:pStyle w:val="TableParagraph"/>
              <w:widowControl w:val="false"/>
              <w:spacing w:before="0" w:after="0"/>
              <w:ind w:left="27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57" w:type="dxa"/>
            <w:vMerge w:val="continue"/>
            <w:tcBorders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5390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Unidade I – Mito e Sacrifício, sociedade e cultura.</w:t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79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-398" w:hanging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3h</w:t>
            </w:r>
          </w:p>
        </w:tc>
      </w:tr>
      <w:tr>
        <w:trPr>
          <w:trHeight w:val="170" w:hRule="atLeast"/>
        </w:trPr>
        <w:tc>
          <w:tcPr>
            <w:tcW w:w="5390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Unidade II – Sacrifício, Dom e Magia.</w:t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79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3h</w:t>
            </w:r>
          </w:p>
        </w:tc>
      </w:tr>
      <w:tr>
        <w:trPr>
          <w:trHeight w:val="170" w:hRule="atLeast"/>
        </w:trPr>
        <w:tc>
          <w:tcPr>
            <w:tcW w:w="5390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Unidade III – A superação da Indiferenciação pelas interdições religiosas, religião e ciência.</w:t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79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3h</w:t>
            </w:r>
          </w:p>
        </w:tc>
      </w:tr>
      <w:tr>
        <w:trPr>
          <w:trHeight w:val="170" w:hRule="atLeast"/>
        </w:trPr>
        <w:tc>
          <w:tcPr>
            <w:tcW w:w="5390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Unidade IV – Dom e reciprocidade negativa: religião e a vingança e a violência, sua presença em nosso mundo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de e religião: a idolatria como categoria compreensiva do mito.</w:t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6h</w:t>
            </w:r>
          </w:p>
        </w:tc>
        <w:tc>
          <w:tcPr>
            <w:tcW w:w="79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18"/>
                <w:szCs w:val="18"/>
                <w:lang w:eastAsia="en-US" w:bidi="ar-SA"/>
              </w:rPr>
              <w:t>3h</w:t>
            </w:r>
          </w:p>
        </w:tc>
      </w:tr>
      <w:tr>
        <w:trPr>
          <w:trHeight w:val="170" w:hRule="atLeast"/>
        </w:trPr>
        <w:tc>
          <w:tcPr>
            <w:tcW w:w="5390" w:type="dxa"/>
            <w:tcBorders/>
            <w:vAlign w:val="bottom"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Carga Horária Total</w:t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24h</w:t>
            </w:r>
          </w:p>
        </w:tc>
        <w:tc>
          <w:tcPr>
            <w:tcW w:w="1133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24h</w:t>
            </w:r>
          </w:p>
        </w:tc>
        <w:tc>
          <w:tcPr>
            <w:tcW w:w="79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57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12h</w:t>
            </w:r>
          </w:p>
        </w:tc>
      </w:tr>
      <w:tr>
        <w:trPr>
          <w:trHeight w:val="1461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5 Procedimentos Metodológicos de Ensino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- As atividades síncronas serão compostas de aula expositiva e leitura de textos com debate podendo contar, se possível, com professores convidados.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 Os procedimentos para as tarefas assíncronas serão a leitura da bibliografia obrigatória e analisar os filmes indicados para esse fim.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 Como professor, estarei disponível nas horas combinadas para responder a dúvidas e a outras demandas.</w:t>
            </w:r>
          </w:p>
        </w:tc>
      </w:tr>
      <w:tr>
        <w:trPr>
          <w:trHeight w:val="728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6 Recursos Didáticos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Gsuite para a organização do curso, Gmeet para as atividades síncronas e Whatsapp ou Gmeet para atendimento aos alunos. O email institucional do professor é </w:t>
            </w:r>
            <w:hyperlink r:id="rId2">
              <w:r>
                <w:rPr>
                  <w:rStyle w:val="InternetLink"/>
                  <w:rFonts w:cs="Arial" w:ascii="Arial" w:hAnsi="Arial"/>
                  <w:bCs/>
                  <w:kern w:val="0"/>
                  <w:sz w:val="20"/>
                  <w:szCs w:val="20"/>
                  <w:lang w:eastAsia="en-US" w:bidi="ar-SA"/>
                </w:rPr>
                <w:t>fernando.peixoto@ufac.br</w:t>
              </w:r>
            </w:hyperlink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. Constituiremos também um grupo no Whatsapp. 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 Avaliação da Aprendizagem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Provas, resenha e fichamento da bibliografia serão as modalidades formais de avaliação (N1 e N2).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 Bibliografia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Bibliografia sugerida.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ANSPACH, Mark R.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Anatomia da  Vingança.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São Paulo: É Realizações, 2012.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GIRARD, René.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O bode expiatório.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São Paulo: Paulus, 2004.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MAUSS, Marcel: HUBERT, Henri.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Sobre o Sacrifício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. São Paulo: Cosac Naify, 2005.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MAUSS, Marcel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. Sociologia e Antropologia.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São Paulo: Cosac Naify, 2003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VILLAS-BÔAS, Orlando.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arte dos pajés.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São Paulo: Globo, 2000.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170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Bibliografia e filmografia extra.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Ciência e a Suástica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: mentes brilhantes a serviço de Hitler (episódios: soldados biológicos e o experimento fatal). Direção de Saskia Baron. Reino Unido, Channel Four, 2007. (Disponível no Youtube).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BÍBLIA de Jerusalém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.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São Paulo: Paulus, 1980.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CANETI, Elias.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Massa e Poder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. São Paulo: Companhia das Letras, 2012. Disponível na internet.                                                                                                                            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LEVY-BRUHL, Lucien.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 Mentalidade primitiva.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São Paulo: Paulus, 2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00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FREUD, Sigmund.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Totem e Tabu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. (Disponível na internet).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______.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Sobre a Paranóia.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(Disponível na internet).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QUINET, Antonio.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Psicose e laço social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: Esquizofrenia, paranoia e melancolia (Parte II). Rio de Janeiro: Jorge Zahar.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ORWELL, George. </w:t>
            </w: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1984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. São Paulo: Companhia das Letras, 2009.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74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1984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eastAsia="en-US" w:bidi="ar-SA"/>
              </w:rPr>
              <w:t>: O futuro do mundo. Direção de Michael Anderson. Reino Unido, Columbia Pictures, 1956. (90 min.). (Disponível no Youtube).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 </w:t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Unidades temáticas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Início 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Término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Unidade I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Sacrifício: a cultura nasce como religião. A questão da violência e sua solução nas comunidades primitivas.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Debater a introdução e o cap. 1 do livro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Sobre o Sacrifício;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discutir os casos de Abraão e de Jesus narrados na Bíblia: caps. 10 e 11 do livro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Bode Expiatório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Caps. 1 e 2 do texto de Laplantine, aprender antropologia.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23/10 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6/11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Unidade II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reciprocidade negativa: Violência e vingança;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Discussão dos capítulos 1 e 2 de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Anatomia da Vingança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de Mark Anspach;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Debate dos capítulos 3, 9, 10 e 11 do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bode expiatório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13/11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27/11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Unidade III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reciprocidade positiva: debate sobre o “Ensaio sobre a dádiva”.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pensamento mágico: Discussão sobre o texto “Esboço de uma teoria geral da magia”.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 </w:t>
            </w:r>
            <w:r>
              <w:rPr>
                <w:rFonts w:eastAsia="Times New Roman"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04/12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18/12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Unidade IV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O Mito hoje: o conflito e a vingança em suas relações com o Dom, a magia e a idolatria.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–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Debate sobre os filmes: “A ciência e a suástica” e “1984”.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08/01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22/01 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Avaliações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left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Data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Horário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Avaliação 1 – Fichamento do livro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Sobre o Sacrifício</w:t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6/11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 horas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Avaliação 2 – Prova N1 escrita sobre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Anatomia da Vingança</w:t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4/12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 horas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Avaliação 3 – Resenha sobre </w:t>
            </w:r>
            <w:r>
              <w:rPr>
                <w:rFonts w:cs="Arial" w:ascii="Arial" w:hAnsi="Arial"/>
                <w:i/>
                <w:i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Ensaio sobre a dádiva</w:t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18/12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 horas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Avaliação 4 – Prova N2 sobre a unidade IV.</w:t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22/01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 horas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Exame Final </w:t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29/01</w:t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 horas</w:t>
            </w:r>
          </w:p>
        </w:tc>
      </w:tr>
      <w:tr>
        <w:trPr>
          <w:trHeight w:val="170" w:hRule="atLeast"/>
        </w:trPr>
        <w:tc>
          <w:tcPr>
            <w:tcW w:w="571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78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9061" w:type="dxa"/>
            <w:gridSpan w:val="6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Aprovação no Colegiado de Curso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(Estatuto, Artigo 34, alínea c e Regimento Geral da UFAC, Artigos 59 e Art. 67- Parágrafo 3°).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Data: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Assinatura do Professor(a)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6" w:leader="none"/>
                <w:tab w:val="left" w:pos="828" w:leader="none"/>
              </w:tabs>
              <w:spacing w:before="0" w:after="0"/>
              <w:ind w:left="119" w:right="75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701" w:right="1134" w:header="0" w:top="1701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03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c6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686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d5d88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ableParagraph" w:customStyle="1">
    <w:name w:val="Table Paragraph"/>
    <w:basedOn w:val="Normal"/>
    <w:uiPriority w:val="1"/>
    <w:qFormat/>
    <w:rsid w:val="009d5d88"/>
    <w:pPr>
      <w:suppressAutoHyphens w:val="false"/>
      <w:textAlignment w:val="auto"/>
    </w:pPr>
    <w:rPr>
      <w:rFonts w:ascii="Times New Roman" w:hAnsi="Times New Roman" w:eastAsia="Times New Roman" w:cs="Times New Roman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d5d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rnando.peixoto@ufac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Coolle_Office_Suite_Pro_For_Windows_10/7.1.0.0.alpha0$Windows_x86 LibreOffice_project/3fa9ba636be5f95a85f9da8e94e8b31a80f45161</Application>
  <Pages>3</Pages>
  <Words>876</Words>
  <Characters>4726</Characters>
  <CharactersWithSpaces>5717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2021-07-11T20:51:00Z</dcterms:created>
  <dc:creator>Ednaceli Damasceno</dc:creator>
  <dc:description/>
  <dc:language>pt-BR</dc:language>
  <cp:lastModifiedBy>Microsoft Office User</cp:lastModifiedBy>
  <dcterms:modified xsi:type="dcterms:W3CDTF">2021-10-22T17:00:00Z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