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AF0" w:rsidRDefault="00DD0AF0">
      <w:pPr>
        <w:rPr>
          <w:rFonts w:ascii="Garamond" w:eastAsia="Garamond" w:hAnsi="Garamond" w:cs="Garamond"/>
          <w:sz w:val="22"/>
          <w:szCs w:val="22"/>
        </w:rPr>
      </w:pPr>
    </w:p>
    <w:p w:rsidR="00DD0AF0" w:rsidRDefault="00DD0AF0">
      <w:pPr>
        <w:rPr>
          <w:rFonts w:ascii="Garamond" w:eastAsia="Garamond" w:hAnsi="Garamond" w:cs="Garamond"/>
          <w:sz w:val="22"/>
          <w:szCs w:val="22"/>
        </w:rPr>
      </w:pPr>
    </w:p>
    <w:tbl>
      <w:tblPr>
        <w:tblStyle w:val="a"/>
        <w:tblW w:w="10000" w:type="dxa"/>
        <w:tblInd w:w="-3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1446"/>
        <w:gridCol w:w="1778"/>
        <w:gridCol w:w="1520"/>
        <w:gridCol w:w="1808"/>
        <w:gridCol w:w="130"/>
        <w:gridCol w:w="1760"/>
      </w:tblGrid>
      <w:tr w:rsidR="00DD0AF0">
        <w:trPr>
          <w:trHeight w:val="1222"/>
        </w:trPr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D0AF0" w:rsidRDefault="007E0FD4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28575</wp:posOffset>
                  </wp:positionV>
                  <wp:extent cx="546100" cy="68580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4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0AF0" w:rsidRDefault="007E0FD4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UNIVERSIDADE FEDERAL DO ACRE</w:t>
            </w:r>
          </w:p>
          <w:p w:rsidR="00DD0AF0" w:rsidRDefault="007E0FD4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PRÓ-REITORIA DE GRADUAÇÃO</w:t>
            </w:r>
          </w:p>
          <w:p w:rsidR="00DD0AF0" w:rsidRDefault="007E0FD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COORDENADORIA DE APOIO AO DESENVOLVIMENTO DO ENSINO</w:t>
            </w:r>
          </w:p>
        </w:tc>
      </w:tr>
      <w:tr w:rsidR="00DD0AF0"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D0AF0" w:rsidRDefault="007E0FD4">
            <w:pPr>
              <w:jc w:val="center"/>
              <w:rPr>
                <w:rFonts w:ascii="Garamond" w:eastAsia="Garamond" w:hAnsi="Garamond" w:cs="Garamond"/>
                <w:color w:val="FF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PLANO DE ENSINO</w:t>
            </w:r>
          </w:p>
        </w:tc>
      </w:tr>
      <w:tr w:rsidR="00DD0AF0">
        <w:trPr>
          <w:cantSplit/>
        </w:trPr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:rsidR="00DD0AF0" w:rsidRDefault="007E0FD4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Centro: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      </w:t>
            </w:r>
          </w:p>
        </w:tc>
        <w:tc>
          <w:tcPr>
            <w:tcW w:w="8442" w:type="dxa"/>
            <w:gridSpan w:val="6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:rsidR="00DD0AF0" w:rsidRDefault="000A4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CENTRO DE FILOSOFIA E CIÊNCIAS HUMANAS - CFCH</w:t>
            </w:r>
          </w:p>
        </w:tc>
      </w:tr>
      <w:tr w:rsidR="00DD0AF0">
        <w:trPr>
          <w:cantSplit/>
        </w:trPr>
        <w:tc>
          <w:tcPr>
            <w:tcW w:w="1558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F0" w:rsidRDefault="007E0FD4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Curso: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844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D0AF0" w:rsidRDefault="000A4FDF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LICENCIATURA EM FILOSOFIA</w:t>
            </w:r>
          </w:p>
        </w:tc>
      </w:tr>
      <w:tr w:rsidR="00DD0AF0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:rsidR="00DD0AF0" w:rsidRDefault="007E0FD4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Disciplina:</w:t>
            </w:r>
          </w:p>
        </w:tc>
        <w:tc>
          <w:tcPr>
            <w:tcW w:w="8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:rsidR="00DD0AF0" w:rsidRDefault="000A4FDF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ÉTICA II</w:t>
            </w:r>
          </w:p>
        </w:tc>
      </w:tr>
      <w:tr w:rsidR="00DD0AF0">
        <w:trPr>
          <w:cantSplit/>
        </w:trPr>
        <w:tc>
          <w:tcPr>
            <w:tcW w:w="15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D0AF0" w:rsidRDefault="007E0FD4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Código: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AF0" w:rsidRDefault="000A4FDF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CFCH 374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AF0" w:rsidRDefault="007E0FD4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Carga Horária:          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AF0" w:rsidRDefault="000A4FDF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60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AF0" w:rsidRDefault="007E0FD4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Créditos: 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D0AF0" w:rsidRDefault="000A4FDF">
            <w:pPr>
              <w:ind w:right="-136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04</w:t>
            </w:r>
          </w:p>
        </w:tc>
      </w:tr>
      <w:tr w:rsidR="00DD0AF0">
        <w:trPr>
          <w:cantSplit/>
        </w:trPr>
        <w:tc>
          <w:tcPr>
            <w:tcW w:w="15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:rsidR="00DD0AF0" w:rsidRDefault="007E0FD4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Pré-requisito:</w:t>
            </w: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0AF0" w:rsidRDefault="00DD0AF0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0AF0" w:rsidRDefault="007E0FD4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Semestre Letivo/Ano: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:rsidR="00DD0AF0" w:rsidRDefault="002540E0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2022.1</w:t>
            </w:r>
          </w:p>
        </w:tc>
      </w:tr>
      <w:tr w:rsidR="00DD0AF0">
        <w:trPr>
          <w:cantSplit/>
        </w:trPr>
        <w:tc>
          <w:tcPr>
            <w:tcW w:w="15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D0AF0" w:rsidRDefault="007E0FD4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Professor (a):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8442" w:type="dxa"/>
            <w:gridSpan w:val="6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D0AF0" w:rsidRDefault="000A4FDF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Dr. Valdinei Vicente de Jesus</w:t>
            </w:r>
          </w:p>
        </w:tc>
      </w:tr>
      <w:tr w:rsidR="00DD0AF0">
        <w:trPr>
          <w:trHeight w:val="540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A4FDF" w:rsidRDefault="007E0FD4">
            <w:pPr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1. 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Ementa</w:t>
            </w:r>
          </w:p>
          <w:p w:rsidR="00DD0AF0" w:rsidRDefault="007E0FD4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</w:t>
            </w:r>
            <w:r w:rsidR="000A4FDF" w:rsidRPr="000A4FDF">
              <w:rPr>
                <w:rFonts w:ascii="Calibri" w:eastAsia="Calibri" w:hAnsi="Calibri" w:cs="Times New Roman"/>
                <w:lang w:eastAsia="en-US"/>
              </w:rPr>
              <w:t>Aprofundamento da análise e interpretação da experiência moral. Questões controvertidas da ética. Natureza das normas de moralidade. Interpretação dos princípios morais.</w:t>
            </w:r>
          </w:p>
        </w:tc>
      </w:tr>
      <w:tr w:rsidR="00DD0AF0">
        <w:trPr>
          <w:trHeight w:val="671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D0AF0" w:rsidRDefault="007E0FD4">
            <w:pP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2. </w:t>
            </w: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2 Objetivo(s) Geral(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is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):</w:t>
            </w:r>
          </w:p>
          <w:p w:rsidR="000A4FDF" w:rsidRDefault="000A4FDF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 w:rsidRPr="000A4FDF">
              <w:rPr>
                <w:rFonts w:ascii="Calibri" w:eastAsia="Calibri" w:hAnsi="Calibri" w:cs="Times New Roman"/>
                <w:lang w:eastAsia="en-US"/>
              </w:rPr>
              <w:t xml:space="preserve">O curso visa retomar as constituições das duas principais “doutrinas” do pensamento ético ocidental na perspectiva hermenêutica do pensador contemporâneo Paul </w:t>
            </w:r>
            <w:proofErr w:type="spellStart"/>
            <w:r w:rsidRPr="000A4FDF">
              <w:rPr>
                <w:rFonts w:ascii="Calibri" w:eastAsia="Calibri" w:hAnsi="Calibri" w:cs="Times New Roman"/>
                <w:lang w:eastAsia="en-US"/>
              </w:rPr>
              <w:t>Ricoeur</w:t>
            </w:r>
            <w:proofErr w:type="spellEnd"/>
            <w:r w:rsidRPr="000A4FDF">
              <w:rPr>
                <w:rFonts w:ascii="Calibri" w:eastAsia="Calibri" w:hAnsi="Calibri" w:cs="Times New Roman"/>
                <w:lang w:eastAsia="en-US"/>
              </w:rPr>
              <w:t xml:space="preserve">, permitindo ao aluno perceber a filosofia moral do hermeneuta francês como um caleidoscópio que filtra além do pensamento ético de Aristóteles e Kant uma série de outros pensadores como Hegel, Hobbes, John </w:t>
            </w:r>
            <w:proofErr w:type="spellStart"/>
            <w:r w:rsidRPr="000A4FDF">
              <w:rPr>
                <w:rFonts w:ascii="Calibri" w:eastAsia="Calibri" w:hAnsi="Calibri" w:cs="Times New Roman"/>
                <w:lang w:eastAsia="en-US"/>
              </w:rPr>
              <w:t>Rawls</w:t>
            </w:r>
            <w:proofErr w:type="spellEnd"/>
            <w:r w:rsidRPr="000A4FDF">
              <w:rPr>
                <w:rFonts w:ascii="Calibri" w:eastAsia="Calibri" w:hAnsi="Calibri" w:cs="Times New Roman"/>
                <w:lang w:eastAsia="en-US"/>
              </w:rPr>
              <w:t xml:space="preserve"> entre outros bem como a tragédia grega Antígona. Nesse contexto, o presente plano de estudos prevê uma incursão no debate contemporâneo sobre os hard cases (casos difíceis) e a aplicabilidade da ética.</w:t>
            </w:r>
          </w:p>
        </w:tc>
      </w:tr>
      <w:tr w:rsidR="00DD0AF0">
        <w:trPr>
          <w:trHeight w:val="671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D0AF0" w:rsidRDefault="007E0FD4">
            <w:pPr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3. Objetivos Específicos:</w:t>
            </w:r>
          </w:p>
          <w:p w:rsidR="000A4FDF" w:rsidRPr="000A4FDF" w:rsidRDefault="000A4FDF" w:rsidP="000A4FDF">
            <w:pPr>
              <w:widowControl w:val="0"/>
              <w:tabs>
                <w:tab w:val="left" w:pos="826"/>
                <w:tab w:val="left" w:pos="828"/>
              </w:tabs>
              <w:autoSpaceDE w:val="0"/>
              <w:autoSpaceDN w:val="0"/>
              <w:ind w:left="119"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0A4FDF">
              <w:rPr>
                <w:rFonts w:ascii="Times New Roman" w:eastAsia="Times New Roman" w:hAnsi="Times New Roman" w:cs="Times New Roman"/>
                <w:lang w:val="pt-PT" w:eastAsia="en-US"/>
              </w:rPr>
              <w:t>- Analisar e compreender a especificidade do conhecimento ético que, que se legitima distinguindo-se de outras formas de conhecimento;</w:t>
            </w:r>
          </w:p>
          <w:p w:rsidR="000A4FDF" w:rsidRPr="000A4FDF" w:rsidRDefault="000A4FDF" w:rsidP="000A4FDF">
            <w:pPr>
              <w:widowControl w:val="0"/>
              <w:tabs>
                <w:tab w:val="left" w:pos="826"/>
                <w:tab w:val="left" w:pos="828"/>
              </w:tabs>
              <w:autoSpaceDE w:val="0"/>
              <w:autoSpaceDN w:val="0"/>
              <w:ind w:left="119"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0A4FDF">
              <w:rPr>
                <w:rFonts w:ascii="Times New Roman" w:eastAsia="Times New Roman" w:hAnsi="Times New Roman" w:cs="Times New Roman"/>
                <w:lang w:val="pt-PT" w:eastAsia="en-US"/>
              </w:rPr>
              <w:t>- Compreender a ética, não apenas como um tipo específico de conhecimento entre outros, mas como prática e instituição político-cultural;</w:t>
            </w:r>
          </w:p>
          <w:p w:rsidR="000A4FDF" w:rsidRPr="000A4FDF" w:rsidRDefault="000A4FDF" w:rsidP="000A4FDF">
            <w:pPr>
              <w:widowControl w:val="0"/>
              <w:tabs>
                <w:tab w:val="left" w:pos="826"/>
                <w:tab w:val="left" w:pos="828"/>
              </w:tabs>
              <w:autoSpaceDE w:val="0"/>
              <w:autoSpaceDN w:val="0"/>
              <w:ind w:left="119"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0A4FDF">
              <w:rPr>
                <w:rFonts w:ascii="Times New Roman" w:eastAsia="Times New Roman" w:hAnsi="Times New Roman" w:cs="Times New Roman"/>
                <w:lang w:val="pt-PT" w:eastAsia="en-US"/>
              </w:rPr>
              <w:t>- Adquirir a capacidade crítica de problematizar as questões éticas do ocidente, sobretudo as questões de bioética;</w:t>
            </w:r>
          </w:p>
          <w:p w:rsidR="000A4FDF" w:rsidRPr="000A4FDF" w:rsidRDefault="000A4FDF" w:rsidP="000A4FDF">
            <w:pPr>
              <w:widowControl w:val="0"/>
              <w:tabs>
                <w:tab w:val="left" w:pos="826"/>
                <w:tab w:val="left" w:pos="828"/>
              </w:tabs>
              <w:autoSpaceDE w:val="0"/>
              <w:autoSpaceDN w:val="0"/>
              <w:ind w:left="119"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0A4FDF">
              <w:rPr>
                <w:rFonts w:ascii="Times New Roman" w:eastAsia="Times New Roman" w:hAnsi="Times New Roman" w:cs="Times New Roman"/>
                <w:lang w:val="pt-PT" w:eastAsia="en-US"/>
              </w:rPr>
              <w:t>- Realizar leituras e interpretações de textos filosóficos;</w:t>
            </w:r>
          </w:p>
          <w:p w:rsidR="000A4FDF" w:rsidRDefault="000A4FDF" w:rsidP="000A4FDF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0A4FDF">
              <w:rPr>
                <w:rFonts w:ascii="Calibri" w:eastAsia="Calibri" w:hAnsi="Calibri" w:cs="Times New Roman"/>
                <w:lang w:eastAsia="en-US"/>
              </w:rPr>
              <w:t>- Elaborar criativamente um posicionamento ético diante da realidade.</w:t>
            </w:r>
          </w:p>
        </w:tc>
      </w:tr>
      <w:tr w:rsidR="00DD0AF0"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D0AF0" w:rsidRDefault="007E0FD4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4. Conteúdo Programático</w:t>
            </w:r>
          </w:p>
        </w:tc>
      </w:tr>
      <w:tr w:rsidR="00DD0AF0"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0AF0" w:rsidRDefault="007E0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40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Unidades Temáticas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0AF0" w:rsidRDefault="007E0FD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C/H</w:t>
            </w:r>
          </w:p>
        </w:tc>
      </w:tr>
      <w:tr w:rsidR="00DD0AF0"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A4FDF" w:rsidRPr="000A4FDF" w:rsidRDefault="000A4FDF" w:rsidP="000A4FDF">
            <w:pPr>
              <w:widowControl w:val="0"/>
              <w:tabs>
                <w:tab w:val="left" w:pos="826"/>
                <w:tab w:val="left" w:pos="828"/>
              </w:tabs>
              <w:autoSpaceDE w:val="0"/>
              <w:autoSpaceDN w:val="0"/>
              <w:ind w:left="119"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0A4FDF">
              <w:rPr>
                <w:rFonts w:ascii="Times New Roman" w:eastAsia="Times New Roman" w:hAnsi="Times New Roman" w:cs="Times New Roman"/>
                <w:lang w:val="pt-PT" w:eastAsia="en-US"/>
              </w:rPr>
              <w:t>Unidade I – Ricoeur entre Aristóteles e Kant</w:t>
            </w:r>
          </w:p>
          <w:p w:rsidR="000A4FDF" w:rsidRPr="000A4FDF" w:rsidRDefault="000A4FDF" w:rsidP="000A4FDF">
            <w:pPr>
              <w:widowControl w:val="0"/>
              <w:tabs>
                <w:tab w:val="left" w:pos="826"/>
                <w:tab w:val="left" w:pos="828"/>
              </w:tabs>
              <w:autoSpaceDE w:val="0"/>
              <w:autoSpaceDN w:val="0"/>
              <w:ind w:left="119"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0A4FDF">
              <w:rPr>
                <w:rFonts w:ascii="Times New Roman" w:eastAsia="Times New Roman" w:hAnsi="Times New Roman" w:cs="Times New Roman"/>
                <w:lang w:val="pt-PT" w:eastAsia="en-US"/>
              </w:rPr>
              <w:t>1.1 Introdução – Conhecimento teórico x conhecimento prático</w:t>
            </w:r>
          </w:p>
          <w:p w:rsidR="000A4FDF" w:rsidRPr="000A4FDF" w:rsidRDefault="000A4FDF" w:rsidP="000A4FDF">
            <w:pPr>
              <w:widowControl w:val="0"/>
              <w:tabs>
                <w:tab w:val="left" w:pos="826"/>
                <w:tab w:val="left" w:pos="828"/>
              </w:tabs>
              <w:autoSpaceDE w:val="0"/>
              <w:autoSpaceDN w:val="0"/>
              <w:ind w:left="119"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0A4FDF">
              <w:rPr>
                <w:rFonts w:ascii="Times New Roman" w:eastAsia="Times New Roman" w:hAnsi="Times New Roman" w:cs="Times New Roman"/>
                <w:lang w:val="pt-PT" w:eastAsia="en-US"/>
              </w:rPr>
              <w:t>1.2 O reducionismo moral de Kant é uma questão de método. A tragédia Antígona como condição para escancarar o reducionismo do universalismo kantiano.</w:t>
            </w:r>
          </w:p>
          <w:p w:rsidR="000A4FDF" w:rsidRDefault="000A4FDF" w:rsidP="000A4FDF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0A4FDF">
              <w:rPr>
                <w:rFonts w:ascii="Calibri" w:eastAsia="Calibri" w:hAnsi="Calibri" w:cs="Times New Roman"/>
                <w:lang w:eastAsia="en-US"/>
              </w:rPr>
              <w:t xml:space="preserve">1.3 A perspectiva ética de </w:t>
            </w:r>
            <w:proofErr w:type="spellStart"/>
            <w:r w:rsidRPr="000A4FDF">
              <w:rPr>
                <w:rFonts w:ascii="Calibri" w:eastAsia="Calibri" w:hAnsi="Calibri" w:cs="Times New Roman"/>
                <w:lang w:eastAsia="en-US"/>
              </w:rPr>
              <w:t>Ricoeur</w:t>
            </w:r>
            <w:proofErr w:type="spellEnd"/>
            <w:r w:rsidRPr="000A4FDF">
              <w:rPr>
                <w:rFonts w:ascii="Calibri" w:eastAsia="Calibri" w:hAnsi="Calibri" w:cs="Times New Roman"/>
                <w:lang w:eastAsia="en-US"/>
              </w:rPr>
              <w:t xml:space="preserve"> enquanto amparada na teleologia aristotélica e na deontologia kantiana.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0AF0" w:rsidRDefault="000A4FDF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15</w:t>
            </w:r>
            <w:r w:rsidR="007E0FD4">
              <w:rPr>
                <w:rFonts w:ascii="Garamond" w:eastAsia="Garamond" w:hAnsi="Garamond" w:cs="Garamond"/>
                <w:sz w:val="22"/>
                <w:szCs w:val="22"/>
              </w:rPr>
              <w:t>h/a</w:t>
            </w:r>
          </w:p>
          <w:p w:rsidR="00DD0AF0" w:rsidRDefault="00DD0AF0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DD0AF0">
        <w:trPr>
          <w:trHeight w:val="444"/>
        </w:trPr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64C3C" w:rsidRPr="00864C3C" w:rsidRDefault="00864C3C" w:rsidP="00864C3C">
            <w:pPr>
              <w:widowControl w:val="0"/>
              <w:tabs>
                <w:tab w:val="left" w:pos="826"/>
                <w:tab w:val="left" w:pos="828"/>
              </w:tabs>
              <w:autoSpaceDE w:val="0"/>
              <w:autoSpaceDN w:val="0"/>
              <w:ind w:left="119"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864C3C">
              <w:rPr>
                <w:rFonts w:ascii="Times New Roman" w:eastAsia="Times New Roman" w:hAnsi="Times New Roman" w:cs="Times New Roman"/>
                <w:lang w:val="pt-PT" w:eastAsia="en-US"/>
              </w:rPr>
              <w:t>Unidade II –  Ética, casos difíceis e Imaginação</w:t>
            </w:r>
          </w:p>
          <w:p w:rsidR="00864C3C" w:rsidRPr="00864C3C" w:rsidRDefault="00864C3C" w:rsidP="00864C3C">
            <w:pPr>
              <w:widowControl w:val="0"/>
              <w:tabs>
                <w:tab w:val="left" w:pos="826"/>
                <w:tab w:val="left" w:pos="828"/>
              </w:tabs>
              <w:autoSpaceDE w:val="0"/>
              <w:autoSpaceDN w:val="0"/>
              <w:ind w:left="119"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864C3C">
              <w:rPr>
                <w:rFonts w:ascii="Times New Roman" w:eastAsia="Times New Roman" w:hAnsi="Times New Roman" w:cs="Times New Roman"/>
                <w:lang w:val="pt-PT" w:eastAsia="en-US"/>
              </w:rPr>
              <w:t>2.1 Em direção ao uma poética da vontade</w:t>
            </w:r>
          </w:p>
          <w:p w:rsidR="00864C3C" w:rsidRPr="00864C3C" w:rsidRDefault="00864C3C" w:rsidP="00864C3C">
            <w:pPr>
              <w:widowControl w:val="0"/>
              <w:tabs>
                <w:tab w:val="left" w:pos="826"/>
                <w:tab w:val="left" w:pos="828"/>
              </w:tabs>
              <w:autoSpaceDE w:val="0"/>
              <w:autoSpaceDN w:val="0"/>
              <w:ind w:left="119"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864C3C">
              <w:rPr>
                <w:rFonts w:ascii="Times New Roman" w:eastAsia="Times New Roman" w:hAnsi="Times New Roman" w:cs="Times New Roman"/>
                <w:lang w:val="pt-PT" w:eastAsia="en-US"/>
              </w:rPr>
              <w:t>2.2 A concepção ricoeuriana de vontade</w:t>
            </w:r>
          </w:p>
          <w:p w:rsidR="00864C3C" w:rsidRPr="00864C3C" w:rsidRDefault="00864C3C" w:rsidP="00864C3C">
            <w:pPr>
              <w:widowControl w:val="0"/>
              <w:tabs>
                <w:tab w:val="left" w:pos="826"/>
                <w:tab w:val="left" w:pos="828"/>
              </w:tabs>
              <w:autoSpaceDE w:val="0"/>
              <w:autoSpaceDN w:val="0"/>
              <w:ind w:left="119"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864C3C">
              <w:rPr>
                <w:rFonts w:ascii="Times New Roman" w:eastAsia="Times New Roman" w:hAnsi="Times New Roman" w:cs="Times New Roman"/>
                <w:lang w:val="pt-PT" w:eastAsia="en-US"/>
              </w:rPr>
              <w:t>2.3 Os Hard cases (hard cases) enquanto um desafio para ética e a bioética</w:t>
            </w:r>
          </w:p>
          <w:p w:rsidR="00864C3C" w:rsidRPr="00864C3C" w:rsidRDefault="00864C3C" w:rsidP="00864C3C">
            <w:pPr>
              <w:widowControl w:val="0"/>
              <w:tabs>
                <w:tab w:val="left" w:pos="826"/>
                <w:tab w:val="left" w:pos="828"/>
              </w:tabs>
              <w:autoSpaceDE w:val="0"/>
              <w:autoSpaceDN w:val="0"/>
              <w:ind w:left="119"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864C3C">
              <w:rPr>
                <w:rFonts w:ascii="Times New Roman" w:eastAsia="Times New Roman" w:hAnsi="Times New Roman" w:cs="Times New Roman"/>
                <w:lang w:val="pt-PT" w:eastAsia="en-US"/>
              </w:rPr>
              <w:t>2.4 A imaginação na ética</w:t>
            </w:r>
          </w:p>
          <w:p w:rsidR="00DD0AF0" w:rsidRDefault="00864C3C" w:rsidP="00864C3C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  </w:t>
            </w:r>
            <w:r w:rsidRPr="00864C3C">
              <w:rPr>
                <w:rFonts w:ascii="Calibri" w:eastAsia="Calibri" w:hAnsi="Calibri" w:cs="Times New Roman"/>
                <w:lang w:eastAsia="en-US"/>
              </w:rPr>
              <w:t xml:space="preserve">2.5 A </w:t>
            </w:r>
            <w:proofErr w:type="spellStart"/>
            <w:r w:rsidRPr="00864C3C">
              <w:rPr>
                <w:rFonts w:ascii="Calibri" w:eastAsia="Calibri" w:hAnsi="Calibri" w:cs="Times New Roman"/>
                <w:lang w:eastAsia="en-US"/>
              </w:rPr>
              <w:t>prhónesis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0AF0" w:rsidRDefault="00864C3C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15</w:t>
            </w:r>
            <w:r w:rsidR="007E0FD4">
              <w:rPr>
                <w:rFonts w:ascii="Garamond" w:eastAsia="Garamond" w:hAnsi="Garamond" w:cs="Garamond"/>
                <w:sz w:val="22"/>
                <w:szCs w:val="22"/>
              </w:rPr>
              <w:t>h/a</w:t>
            </w:r>
          </w:p>
        </w:tc>
      </w:tr>
      <w:tr w:rsidR="00DD0AF0">
        <w:trPr>
          <w:trHeight w:val="508"/>
        </w:trPr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64C3C" w:rsidRPr="00864C3C" w:rsidRDefault="00864C3C" w:rsidP="00864C3C">
            <w:pPr>
              <w:widowControl w:val="0"/>
              <w:tabs>
                <w:tab w:val="left" w:pos="826"/>
                <w:tab w:val="left" w:pos="828"/>
              </w:tabs>
              <w:autoSpaceDE w:val="0"/>
              <w:autoSpaceDN w:val="0"/>
              <w:ind w:left="119"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864C3C">
              <w:rPr>
                <w:rFonts w:ascii="Times New Roman" w:eastAsia="Times New Roman" w:hAnsi="Times New Roman" w:cs="Times New Roman"/>
                <w:lang w:val="pt-PT" w:eastAsia="en-US"/>
              </w:rPr>
              <w:t>Unidade III – A Poética da Vontade</w:t>
            </w:r>
          </w:p>
          <w:p w:rsidR="00864C3C" w:rsidRPr="00864C3C" w:rsidRDefault="00864C3C" w:rsidP="00864C3C">
            <w:pPr>
              <w:widowControl w:val="0"/>
              <w:tabs>
                <w:tab w:val="left" w:pos="826"/>
                <w:tab w:val="left" w:pos="828"/>
              </w:tabs>
              <w:autoSpaceDE w:val="0"/>
              <w:autoSpaceDN w:val="0"/>
              <w:ind w:left="119"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864C3C">
              <w:rPr>
                <w:rFonts w:ascii="Times New Roman" w:eastAsia="Times New Roman" w:hAnsi="Times New Roman" w:cs="Times New Roman"/>
                <w:lang w:val="pt-PT" w:eastAsia="en-US"/>
              </w:rPr>
              <w:t>3.1 A poética da vontade em Ricoeur</w:t>
            </w:r>
          </w:p>
          <w:p w:rsidR="00864C3C" w:rsidRPr="00864C3C" w:rsidRDefault="00864C3C" w:rsidP="00864C3C">
            <w:pPr>
              <w:widowControl w:val="0"/>
              <w:tabs>
                <w:tab w:val="left" w:pos="826"/>
                <w:tab w:val="left" w:pos="828"/>
              </w:tabs>
              <w:autoSpaceDE w:val="0"/>
              <w:autoSpaceDN w:val="0"/>
              <w:ind w:left="119"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864C3C">
              <w:rPr>
                <w:rFonts w:ascii="Times New Roman" w:eastAsia="Times New Roman" w:hAnsi="Times New Roman" w:cs="Times New Roman"/>
                <w:lang w:val="pt-PT" w:eastAsia="en-US"/>
              </w:rPr>
              <w:t>3.2 A difícil solução dos casos difíceis</w:t>
            </w:r>
          </w:p>
          <w:p w:rsidR="00864C3C" w:rsidRPr="00864C3C" w:rsidRDefault="00864C3C" w:rsidP="00864C3C">
            <w:pPr>
              <w:widowControl w:val="0"/>
              <w:tabs>
                <w:tab w:val="left" w:pos="826"/>
                <w:tab w:val="left" w:pos="828"/>
              </w:tabs>
              <w:autoSpaceDE w:val="0"/>
              <w:autoSpaceDN w:val="0"/>
              <w:ind w:left="119"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864C3C">
              <w:rPr>
                <w:rFonts w:ascii="Times New Roman" w:eastAsia="Times New Roman" w:hAnsi="Times New Roman" w:cs="Times New Roman"/>
                <w:lang w:val="pt-PT" w:eastAsia="en-US"/>
              </w:rPr>
              <w:t>3.3 Do respeito ao reconhecimento</w:t>
            </w:r>
          </w:p>
          <w:p w:rsidR="00864C3C" w:rsidRPr="00864C3C" w:rsidRDefault="00864C3C" w:rsidP="00864C3C">
            <w:pPr>
              <w:widowControl w:val="0"/>
              <w:tabs>
                <w:tab w:val="left" w:pos="826"/>
                <w:tab w:val="left" w:pos="828"/>
              </w:tabs>
              <w:autoSpaceDE w:val="0"/>
              <w:autoSpaceDN w:val="0"/>
              <w:ind w:left="119"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864C3C">
              <w:rPr>
                <w:rFonts w:ascii="Times New Roman" w:eastAsia="Times New Roman" w:hAnsi="Times New Roman" w:cs="Times New Roman"/>
                <w:lang w:val="pt-PT" w:eastAsia="en-US"/>
              </w:rPr>
              <w:t>3.4 O respeito ao outro ao invés do respeito à lei moral</w:t>
            </w:r>
          </w:p>
          <w:p w:rsidR="00864C3C" w:rsidRPr="00864C3C" w:rsidRDefault="00864C3C" w:rsidP="00864C3C">
            <w:pPr>
              <w:widowControl w:val="0"/>
              <w:tabs>
                <w:tab w:val="left" w:pos="826"/>
                <w:tab w:val="left" w:pos="828"/>
              </w:tabs>
              <w:autoSpaceDE w:val="0"/>
              <w:autoSpaceDN w:val="0"/>
              <w:ind w:left="119"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864C3C">
              <w:rPr>
                <w:rFonts w:ascii="Times New Roman" w:eastAsia="Times New Roman" w:hAnsi="Times New Roman" w:cs="Times New Roman"/>
                <w:lang w:val="pt-PT" w:eastAsia="en-US"/>
              </w:rPr>
              <w:lastRenderedPageBreak/>
              <w:t>3.5 O reconhecimento no plano jurídico: Reconhecimento em Hobbes e Rawls</w:t>
            </w:r>
          </w:p>
          <w:p w:rsidR="00864C3C" w:rsidRPr="00864C3C" w:rsidRDefault="00864C3C" w:rsidP="00864C3C">
            <w:pPr>
              <w:widowControl w:val="0"/>
              <w:tabs>
                <w:tab w:val="left" w:pos="826"/>
                <w:tab w:val="left" w:pos="828"/>
              </w:tabs>
              <w:autoSpaceDE w:val="0"/>
              <w:autoSpaceDN w:val="0"/>
              <w:ind w:left="119"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864C3C">
              <w:rPr>
                <w:rFonts w:ascii="Times New Roman" w:eastAsia="Times New Roman" w:hAnsi="Times New Roman" w:cs="Times New Roman"/>
                <w:lang w:val="pt-PT" w:eastAsia="en-US"/>
              </w:rPr>
              <w:t>3.6 O reconhecimento na economia do dom: o reconhecimento ético</w:t>
            </w:r>
          </w:p>
          <w:p w:rsidR="00DD0AF0" w:rsidRDefault="00864C3C" w:rsidP="00864C3C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  </w:t>
            </w:r>
            <w:proofErr w:type="gramStart"/>
            <w:r w:rsidRPr="00864C3C">
              <w:rPr>
                <w:rFonts w:ascii="Calibri" w:eastAsia="Calibri" w:hAnsi="Calibri" w:cs="Times New Roman"/>
                <w:lang w:eastAsia="en-US"/>
              </w:rPr>
              <w:t>3.7  Alcances</w:t>
            </w:r>
            <w:proofErr w:type="gramEnd"/>
            <w:r w:rsidRPr="00864C3C">
              <w:rPr>
                <w:rFonts w:ascii="Calibri" w:eastAsia="Calibri" w:hAnsi="Calibri" w:cs="Times New Roman"/>
                <w:lang w:eastAsia="en-US"/>
              </w:rPr>
              <w:t xml:space="preserve"> e limites da visada ética </w:t>
            </w:r>
            <w:proofErr w:type="spellStart"/>
            <w:r w:rsidRPr="00864C3C">
              <w:rPr>
                <w:rFonts w:ascii="Calibri" w:eastAsia="Calibri" w:hAnsi="Calibri" w:cs="Times New Roman"/>
                <w:lang w:eastAsia="en-US"/>
              </w:rPr>
              <w:t>ricoeuriana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0AF0" w:rsidRDefault="00864C3C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lastRenderedPageBreak/>
              <w:t>15</w:t>
            </w:r>
            <w:r w:rsidR="007E0FD4">
              <w:rPr>
                <w:rFonts w:ascii="Garamond" w:eastAsia="Garamond" w:hAnsi="Garamond" w:cs="Garamond"/>
                <w:sz w:val="22"/>
                <w:szCs w:val="22"/>
              </w:rPr>
              <w:t>h/a</w:t>
            </w:r>
          </w:p>
          <w:p w:rsidR="00DD0AF0" w:rsidRDefault="00DD0AF0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864C3C" w:rsidTr="00EE3C61">
        <w:tc>
          <w:tcPr>
            <w:tcW w:w="8110" w:type="dxa"/>
            <w:gridSpan w:val="5"/>
          </w:tcPr>
          <w:p w:rsidR="00864C3C" w:rsidRPr="00010A14" w:rsidRDefault="00864C3C" w:rsidP="00864C3C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</w:rPr>
            </w:pPr>
            <w:r w:rsidRPr="00010A14">
              <w:rPr>
                <w:sz w:val="24"/>
                <w:szCs w:val="24"/>
              </w:rPr>
              <w:t xml:space="preserve">Unidade IV </w:t>
            </w:r>
            <w:r>
              <w:rPr>
                <w:sz w:val="24"/>
                <w:szCs w:val="24"/>
              </w:rPr>
              <w:t>– A ética aristotélica e a filosofia moral Kantiana</w:t>
            </w:r>
            <w:r w:rsidRPr="00010A14">
              <w:rPr>
                <w:sz w:val="24"/>
                <w:szCs w:val="24"/>
              </w:rPr>
              <w:t>: legado e limitações</w:t>
            </w:r>
            <w:r>
              <w:rPr>
                <w:sz w:val="24"/>
                <w:szCs w:val="24"/>
              </w:rPr>
              <w:t xml:space="preserve"> na perspectiva de Ricoeur</w:t>
            </w:r>
          </w:p>
          <w:p w:rsidR="00864C3C" w:rsidRPr="00010A14" w:rsidRDefault="00864C3C" w:rsidP="00864C3C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</w:t>
            </w:r>
            <w:r w:rsidRPr="00010A14">
              <w:rPr>
                <w:sz w:val="24"/>
                <w:szCs w:val="24"/>
              </w:rPr>
              <w:t xml:space="preserve">Principais contribuições de </w:t>
            </w:r>
            <w:r>
              <w:rPr>
                <w:sz w:val="24"/>
                <w:szCs w:val="24"/>
              </w:rPr>
              <w:t>Ricoeur para a ética</w:t>
            </w:r>
          </w:p>
          <w:p w:rsidR="00864C3C" w:rsidRPr="00010A14" w:rsidRDefault="00864C3C" w:rsidP="00864C3C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 </w:t>
            </w:r>
            <w:r w:rsidRPr="00010A14">
              <w:rPr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mites da ética ricoeuriana</w:t>
            </w:r>
          </w:p>
          <w:p w:rsidR="00864C3C" w:rsidRPr="00010A14" w:rsidRDefault="00864C3C" w:rsidP="00864C3C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 </w:t>
            </w:r>
            <w:r w:rsidRPr="00010A14">
              <w:rPr>
                <w:sz w:val="24"/>
                <w:szCs w:val="24"/>
              </w:rPr>
              <w:t>Universos de aplicação político cultural</w:t>
            </w:r>
            <w:r>
              <w:rPr>
                <w:sz w:val="24"/>
                <w:szCs w:val="24"/>
              </w:rPr>
              <w:t xml:space="preserve"> da perspectiva ética de Ricoeur</w:t>
            </w:r>
          </w:p>
          <w:p w:rsidR="00864C3C" w:rsidRPr="00010A14" w:rsidRDefault="00864C3C" w:rsidP="00864C3C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 </w:t>
            </w:r>
            <w:r w:rsidRPr="00010A14">
              <w:rPr>
                <w:sz w:val="24"/>
                <w:szCs w:val="24"/>
              </w:rPr>
              <w:t>Nosso posicionamento ético diante da realidade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64C3C" w:rsidRDefault="00864C3C" w:rsidP="00864C3C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15h/a</w:t>
            </w:r>
          </w:p>
          <w:p w:rsidR="00864C3C" w:rsidRDefault="00864C3C" w:rsidP="00864C3C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864C3C"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64C3C" w:rsidRDefault="00864C3C" w:rsidP="00864C3C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64C3C" w:rsidRDefault="007E0FD4" w:rsidP="00864C3C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60</w:t>
            </w:r>
            <w:bookmarkStart w:id="0" w:name="_GoBack"/>
            <w:bookmarkEnd w:id="0"/>
            <w:r w:rsidR="00864C3C">
              <w:rPr>
                <w:rFonts w:ascii="Garamond" w:eastAsia="Garamond" w:hAnsi="Garamond" w:cs="Garamond"/>
                <w:b/>
                <w:sz w:val="22"/>
                <w:szCs w:val="22"/>
              </w:rPr>
              <w:t>h/a</w:t>
            </w:r>
          </w:p>
        </w:tc>
      </w:tr>
      <w:tr w:rsidR="00864C3C" w:rsidTr="00864C3C">
        <w:trPr>
          <w:trHeight w:val="671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864C3C" w:rsidRDefault="00864C3C" w:rsidP="00864C3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60"/>
              <w:ind w:left="284" w:hanging="284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5. Procedimentos Metodológicos:</w:t>
            </w:r>
          </w:p>
          <w:p w:rsidR="00864C3C" w:rsidRDefault="00864C3C" w:rsidP="00864C3C">
            <w:r>
              <w:rPr>
                <w:rFonts w:ascii="Calibri" w:eastAsia="Calibri" w:hAnsi="Calibri" w:cs="Times New Roman"/>
                <w:lang w:eastAsia="en-US"/>
              </w:rPr>
              <w:t xml:space="preserve">Aulas expositivas-dialogadas e leituras de </w:t>
            </w:r>
            <w:r w:rsidRPr="00864C3C">
              <w:rPr>
                <w:rFonts w:ascii="Calibri" w:eastAsia="Calibri" w:hAnsi="Calibri" w:cs="Times New Roman"/>
                <w:lang w:eastAsia="en-US"/>
              </w:rPr>
              <w:t>textos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os quais serão </w:t>
            </w:r>
            <w:r w:rsidRPr="00864C3C">
              <w:rPr>
                <w:rFonts w:ascii="Calibri" w:eastAsia="Calibri" w:hAnsi="Calibri" w:cs="Times New Roman"/>
                <w:lang w:eastAsia="en-US"/>
              </w:rPr>
              <w:t xml:space="preserve">interpretados coletivamente por todos os membros da turma: nesse ambiente colaborativo todas as participações serão </w:t>
            </w:r>
            <w:proofErr w:type="gramStart"/>
            <w:r w:rsidRPr="00864C3C">
              <w:rPr>
                <w:rFonts w:ascii="Calibri" w:eastAsia="Calibri" w:hAnsi="Calibri" w:cs="Times New Roman"/>
                <w:lang w:eastAsia="en-US"/>
              </w:rPr>
              <w:t>bem vindas</w:t>
            </w:r>
            <w:proofErr w:type="gramEnd"/>
            <w:r w:rsidRPr="00864C3C">
              <w:rPr>
                <w:rFonts w:ascii="Calibri" w:eastAsia="Calibri" w:hAnsi="Calibri" w:cs="Times New Roman"/>
                <w:lang w:eastAsia="en-US"/>
              </w:rPr>
              <w:t xml:space="preserve">. Será o momento de interação onde poderemos buscar 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o máximo aprofundamento </w:t>
            </w:r>
            <w:r w:rsidRPr="00864C3C">
              <w:rPr>
                <w:rFonts w:ascii="Calibri" w:eastAsia="Calibri" w:hAnsi="Calibri" w:cs="Times New Roman"/>
                <w:lang w:eastAsia="en-US"/>
              </w:rPr>
              <w:t>com trabalho sério e ao mesmo tempo buscando um ambiente descontraído e de mútua aceitação para toda a sorte de interações edificantes tais como os apoios e as partilhas de dificuldades, superações e experiências em geral. Buscar-se-á a construção de um ambiente saudável, um verdadeiro caldo de cultura para o processo de ensino-aprendizagem sem comprometer com isso a qualidade e a profundidade dos assuntos abordados.</w:t>
            </w:r>
          </w:p>
        </w:tc>
      </w:tr>
      <w:tr w:rsidR="00864C3C">
        <w:trPr>
          <w:trHeight w:val="671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A271F" w:rsidRDefault="00864C3C" w:rsidP="00864C3C">
            <w:pP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6. Recursos Didáticos</w:t>
            </w:r>
          </w:p>
          <w:p w:rsidR="00DA271F" w:rsidRPr="00DA271F" w:rsidRDefault="00DA271F" w:rsidP="00DA271F">
            <w:pPr>
              <w:widowControl w:val="0"/>
              <w:tabs>
                <w:tab w:val="left" w:pos="826"/>
                <w:tab w:val="left" w:pos="828"/>
              </w:tabs>
              <w:autoSpaceDE w:val="0"/>
              <w:autoSpaceDN w:val="0"/>
              <w:ind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DA271F">
              <w:rPr>
                <w:rFonts w:ascii="Times New Roman" w:eastAsia="Times New Roman" w:hAnsi="Times New Roman" w:cs="Times New Roman"/>
                <w:lang w:val="pt-PT" w:eastAsia="en-US"/>
              </w:rPr>
              <w:t>Aula expositiva</w:t>
            </w:r>
            <w:r>
              <w:rPr>
                <w:rFonts w:ascii="Times New Roman" w:eastAsia="Times New Roman" w:hAnsi="Times New Roman" w:cs="Times New Roman"/>
                <w:lang w:val="pt-PT" w:eastAsia="en-US"/>
              </w:rPr>
              <w:t>-dialogada</w:t>
            </w:r>
          </w:p>
          <w:p w:rsidR="00DA271F" w:rsidRPr="00DA271F" w:rsidRDefault="00DA271F" w:rsidP="00DA271F">
            <w:pPr>
              <w:widowControl w:val="0"/>
              <w:tabs>
                <w:tab w:val="left" w:pos="826"/>
                <w:tab w:val="left" w:pos="828"/>
              </w:tabs>
              <w:autoSpaceDE w:val="0"/>
              <w:autoSpaceDN w:val="0"/>
              <w:ind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DA271F">
              <w:rPr>
                <w:rFonts w:ascii="Times New Roman" w:eastAsia="Times New Roman" w:hAnsi="Times New Roman" w:cs="Times New Roman"/>
                <w:lang w:val="pt-PT" w:eastAsia="en-US"/>
              </w:rPr>
              <w:t>Vídeo Aula – google sala de aula e you-tube.</w:t>
            </w:r>
          </w:p>
          <w:p w:rsidR="00DA271F" w:rsidRPr="00DA271F" w:rsidRDefault="00DA271F" w:rsidP="00DA271F">
            <w:pPr>
              <w:widowControl w:val="0"/>
              <w:tabs>
                <w:tab w:val="left" w:pos="826"/>
                <w:tab w:val="left" w:pos="828"/>
              </w:tabs>
              <w:autoSpaceDE w:val="0"/>
              <w:autoSpaceDN w:val="0"/>
              <w:ind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DA271F">
              <w:rPr>
                <w:rFonts w:ascii="Times New Roman" w:eastAsia="Times New Roman" w:hAnsi="Times New Roman" w:cs="Times New Roman"/>
                <w:lang w:val="pt-PT" w:eastAsia="en-US"/>
              </w:rPr>
              <w:t>Leituras – pdf, link, repositório e site.</w:t>
            </w:r>
          </w:p>
          <w:p w:rsidR="00DA271F" w:rsidRPr="00DA271F" w:rsidRDefault="00DA271F" w:rsidP="00DA271F">
            <w:pPr>
              <w:widowControl w:val="0"/>
              <w:tabs>
                <w:tab w:val="left" w:pos="826"/>
                <w:tab w:val="left" w:pos="828"/>
              </w:tabs>
              <w:autoSpaceDE w:val="0"/>
              <w:autoSpaceDN w:val="0"/>
              <w:ind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DA271F">
              <w:rPr>
                <w:rFonts w:ascii="Times New Roman" w:eastAsia="Times New Roman" w:hAnsi="Times New Roman" w:cs="Times New Roman"/>
                <w:lang w:val="pt-PT" w:eastAsia="en-US"/>
              </w:rPr>
              <w:t xml:space="preserve">Apresentação de trabalhos – </w:t>
            </w:r>
            <w:r>
              <w:rPr>
                <w:rFonts w:ascii="Times New Roman" w:eastAsia="Times New Roman" w:hAnsi="Times New Roman" w:cs="Times New Roman"/>
                <w:lang w:val="pt-PT" w:eastAsia="en-US"/>
              </w:rPr>
              <w:t xml:space="preserve">computador, </w:t>
            </w:r>
            <w:r w:rsidRPr="00DA271F">
              <w:rPr>
                <w:rFonts w:ascii="Times New Roman" w:eastAsia="Times New Roman" w:hAnsi="Times New Roman" w:cs="Times New Roman"/>
                <w:lang w:val="pt-PT" w:eastAsia="en-US"/>
              </w:rPr>
              <w:t>vídeo</w:t>
            </w:r>
            <w:r>
              <w:rPr>
                <w:rFonts w:ascii="Times New Roman" w:eastAsia="Times New Roman" w:hAnsi="Times New Roman" w:cs="Times New Roman"/>
                <w:lang w:val="pt-PT" w:eastAsia="en-US"/>
              </w:rPr>
              <w:t>s postados em aplicativos previamente combinados e datashow.</w:t>
            </w:r>
          </w:p>
          <w:p w:rsidR="00DA271F" w:rsidRPr="00DA271F" w:rsidRDefault="00DA271F" w:rsidP="00DA271F">
            <w:pPr>
              <w:widowControl w:val="0"/>
              <w:tabs>
                <w:tab w:val="left" w:pos="826"/>
                <w:tab w:val="left" w:pos="828"/>
              </w:tabs>
              <w:autoSpaceDE w:val="0"/>
              <w:autoSpaceDN w:val="0"/>
              <w:ind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DA271F">
              <w:rPr>
                <w:rFonts w:ascii="Times New Roman" w:eastAsia="Times New Roman" w:hAnsi="Times New Roman" w:cs="Times New Roman"/>
                <w:lang w:val="pt-PT" w:eastAsia="en-US"/>
              </w:rPr>
              <w:t xml:space="preserve">Pesquisa bibliográfica – </w:t>
            </w:r>
            <w:r>
              <w:rPr>
                <w:rFonts w:ascii="Times New Roman" w:eastAsia="Times New Roman" w:hAnsi="Times New Roman" w:cs="Times New Roman"/>
                <w:lang w:val="pt-PT" w:eastAsia="en-US"/>
              </w:rPr>
              <w:t xml:space="preserve">livros, artigos, </w:t>
            </w:r>
            <w:r w:rsidRPr="00DA271F">
              <w:rPr>
                <w:rFonts w:ascii="Times New Roman" w:eastAsia="Times New Roman" w:hAnsi="Times New Roman" w:cs="Times New Roman"/>
                <w:lang w:val="pt-PT" w:eastAsia="en-US"/>
              </w:rPr>
              <w:t>pdf, link, repositório e sites.</w:t>
            </w:r>
          </w:p>
          <w:p w:rsidR="00DA271F" w:rsidRPr="00DA271F" w:rsidRDefault="00DA271F" w:rsidP="00DA271F">
            <w:pPr>
              <w:widowControl w:val="0"/>
              <w:tabs>
                <w:tab w:val="left" w:pos="826"/>
                <w:tab w:val="left" w:pos="828"/>
              </w:tabs>
              <w:autoSpaceDE w:val="0"/>
              <w:autoSpaceDN w:val="0"/>
              <w:ind w:left="119" w:right="75"/>
              <w:jc w:val="both"/>
              <w:rPr>
                <w:rFonts w:ascii="Times New Roman" w:eastAsia="Times New Roman" w:hAnsi="Times New Roman" w:cs="Times New Roman"/>
                <w:b/>
                <w:lang w:val="pt-PT" w:eastAsia="en-US"/>
              </w:rPr>
            </w:pPr>
          </w:p>
          <w:p w:rsidR="00864C3C" w:rsidRDefault="00DA271F" w:rsidP="00DA271F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DA271F">
              <w:rPr>
                <w:rFonts w:ascii="Calibri" w:eastAsia="Calibri" w:hAnsi="Calibri" w:cs="Times New Roman"/>
                <w:lang w:eastAsia="en-US"/>
              </w:rPr>
              <w:t>Poderemos utilizar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DA271F">
              <w:rPr>
                <w:rFonts w:ascii="Calibri" w:eastAsia="Calibri" w:hAnsi="Calibri" w:cs="Times New Roman"/>
                <w:lang w:eastAsia="en-US"/>
              </w:rPr>
              <w:t>as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seguintes</w:t>
            </w:r>
            <w:r w:rsidRPr="00DA271F">
              <w:rPr>
                <w:rFonts w:ascii="Calibri" w:eastAsia="Calibri" w:hAnsi="Calibri" w:cs="Times New Roman"/>
                <w:lang w:eastAsia="en-US"/>
              </w:rPr>
              <w:t xml:space="preserve"> ferramentas: </w:t>
            </w:r>
            <w:proofErr w:type="spellStart"/>
            <w:r w:rsidRPr="00DA271F">
              <w:rPr>
                <w:rFonts w:ascii="Calibri" w:eastAsia="Calibri" w:hAnsi="Calibri" w:cs="Times New Roman"/>
                <w:lang w:eastAsia="en-US"/>
              </w:rPr>
              <w:t>google</w:t>
            </w:r>
            <w:proofErr w:type="spellEnd"/>
            <w:r w:rsidRPr="00DA271F">
              <w:rPr>
                <w:rFonts w:ascii="Calibri" w:eastAsia="Calibri" w:hAnsi="Calibri" w:cs="Times New Roman"/>
                <w:lang w:eastAsia="en-US"/>
              </w:rPr>
              <w:t xml:space="preserve"> sala de aula , correio eletrônico </w:t>
            </w:r>
            <w:proofErr w:type="spellStart"/>
            <w:r w:rsidRPr="00DA271F">
              <w:rPr>
                <w:rFonts w:ascii="Calibri" w:eastAsia="Calibri" w:hAnsi="Calibri" w:cs="Times New Roman"/>
                <w:lang w:eastAsia="en-US"/>
              </w:rPr>
              <w:t>gmail</w:t>
            </w:r>
            <w:proofErr w:type="spellEnd"/>
            <w:r w:rsidRPr="00DA271F">
              <w:rPr>
                <w:rFonts w:ascii="Calibri" w:eastAsia="Calibri" w:hAnsi="Calibri" w:cs="Times New Roman"/>
                <w:lang w:eastAsia="en-US"/>
              </w:rPr>
              <w:t xml:space="preserve">: </w:t>
            </w:r>
            <w:hyperlink r:id="rId6" w:history="1">
              <w:r w:rsidRPr="00DA271F">
                <w:rPr>
                  <w:rFonts w:ascii="Calibri" w:eastAsia="Calibri" w:hAnsi="Calibri" w:cs="Times New Roman"/>
                  <w:color w:val="0563C1"/>
                  <w:u w:val="single"/>
                  <w:lang w:eastAsia="en-US"/>
                </w:rPr>
                <w:t>valdinei.jesus@ufac.br</w:t>
              </w:r>
            </w:hyperlink>
            <w:r w:rsidRPr="00DA271F">
              <w:rPr>
                <w:rFonts w:ascii="Calibri" w:eastAsia="Calibri" w:hAnsi="Calibri" w:cs="Times New Roman"/>
                <w:lang w:eastAsia="en-US"/>
              </w:rPr>
              <w:t xml:space="preserve">, disponibilização de </w:t>
            </w:r>
            <w:proofErr w:type="spellStart"/>
            <w:r w:rsidRPr="00DA271F">
              <w:rPr>
                <w:rFonts w:ascii="Calibri" w:eastAsia="Calibri" w:hAnsi="Calibri" w:cs="Times New Roman"/>
                <w:lang w:eastAsia="en-US"/>
              </w:rPr>
              <w:t>vídeo-aulas</w:t>
            </w:r>
            <w:proofErr w:type="spellEnd"/>
            <w:r w:rsidRPr="00DA271F">
              <w:rPr>
                <w:rFonts w:ascii="Calibri" w:eastAsia="Calibri" w:hAnsi="Calibri" w:cs="Times New Roman"/>
                <w:lang w:eastAsia="en-US"/>
              </w:rPr>
              <w:t xml:space="preserve"> no </w:t>
            </w:r>
            <w:proofErr w:type="spellStart"/>
            <w:r w:rsidRPr="00DA271F">
              <w:rPr>
                <w:rFonts w:ascii="Calibri" w:eastAsia="Calibri" w:hAnsi="Calibri" w:cs="Times New Roman"/>
                <w:lang w:eastAsia="en-US"/>
              </w:rPr>
              <w:t>google</w:t>
            </w:r>
            <w:proofErr w:type="spellEnd"/>
            <w:r w:rsidRPr="00DA271F">
              <w:rPr>
                <w:rFonts w:ascii="Calibri" w:eastAsia="Calibri" w:hAnsi="Calibri" w:cs="Times New Roman"/>
                <w:lang w:eastAsia="en-US"/>
              </w:rPr>
              <w:t xml:space="preserve"> sala de aula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DA271F">
              <w:rPr>
                <w:rFonts w:ascii="Calibri" w:eastAsia="Calibri" w:hAnsi="Calibri" w:cs="Times New Roman"/>
                <w:lang w:eastAsia="en-US"/>
              </w:rPr>
              <w:t xml:space="preserve">entre outras. Utilizaremos aplicativos tais como </w:t>
            </w:r>
            <w:proofErr w:type="spellStart"/>
            <w:r w:rsidRPr="00DA271F">
              <w:rPr>
                <w:rFonts w:ascii="Calibri" w:eastAsia="Calibri" w:hAnsi="Calibri" w:cs="Times New Roman"/>
                <w:lang w:eastAsia="en-US"/>
              </w:rPr>
              <w:t>whatsapp</w:t>
            </w:r>
            <w:proofErr w:type="spellEnd"/>
            <w:r w:rsidRPr="00DA271F">
              <w:rPr>
                <w:rFonts w:ascii="Calibri" w:eastAsia="Calibri" w:hAnsi="Calibri" w:cs="Times New Roman"/>
                <w:lang w:eastAsia="en-US"/>
              </w:rPr>
              <w:t xml:space="preserve">, </w:t>
            </w:r>
            <w:proofErr w:type="spellStart"/>
            <w:r w:rsidRPr="00DA271F">
              <w:rPr>
                <w:rFonts w:ascii="Calibri" w:eastAsia="Calibri" w:hAnsi="Calibri" w:cs="Times New Roman"/>
                <w:lang w:eastAsia="en-US"/>
              </w:rPr>
              <w:t>google</w:t>
            </w:r>
            <w:proofErr w:type="spellEnd"/>
            <w:r w:rsidRPr="00DA271F">
              <w:rPr>
                <w:rFonts w:ascii="Calibri" w:eastAsia="Calibri" w:hAnsi="Calibri" w:cs="Times New Roman"/>
                <w:lang w:eastAsia="en-US"/>
              </w:rPr>
              <w:t xml:space="preserve"> sala de aula e </w:t>
            </w:r>
            <w:proofErr w:type="spellStart"/>
            <w:r w:rsidRPr="00DA271F">
              <w:rPr>
                <w:rFonts w:ascii="Calibri" w:eastAsia="Calibri" w:hAnsi="Calibri" w:cs="Times New Roman"/>
                <w:lang w:eastAsia="en-US"/>
              </w:rPr>
              <w:t>you</w:t>
            </w:r>
            <w:proofErr w:type="spellEnd"/>
            <w:r w:rsidRPr="00DA271F">
              <w:rPr>
                <w:rFonts w:ascii="Calibri" w:eastAsia="Calibri" w:hAnsi="Calibri" w:cs="Times New Roman"/>
                <w:lang w:eastAsia="en-US"/>
              </w:rPr>
              <w:t>-tube.</w:t>
            </w:r>
            <w:r w:rsidR="00864C3C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64C3C">
        <w:trPr>
          <w:trHeight w:val="313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64C3C" w:rsidRDefault="00864C3C" w:rsidP="00864C3C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7. Avaliação </w:t>
            </w:r>
          </w:p>
          <w:p w:rsidR="00864C3C" w:rsidRDefault="001D4C08" w:rsidP="00864C3C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1D4C08">
              <w:rPr>
                <w:rFonts w:ascii="Calibri" w:eastAsia="Calibri" w:hAnsi="Calibri" w:cs="Times New Roman"/>
                <w:lang w:eastAsia="en-US"/>
              </w:rPr>
              <w:t>As avaliações do rendimento ocorrerão de forma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presencial e por meio de atividades a serem desenvolvidas fora do ambiente físico de sala de aula</w:t>
            </w:r>
            <w:r w:rsidRPr="001D4C08">
              <w:rPr>
                <w:rFonts w:ascii="Calibri" w:eastAsia="Calibri" w:hAnsi="Calibri" w:cs="Times New Roman"/>
                <w:lang w:eastAsia="en-US"/>
              </w:rPr>
              <w:t>: 1) As avaliações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presenciais </w:t>
            </w:r>
            <w:r w:rsidRPr="001D4C08">
              <w:rPr>
                <w:rFonts w:ascii="Calibri" w:eastAsia="Calibri" w:hAnsi="Calibri" w:cs="Times New Roman"/>
                <w:lang w:eastAsia="en-US"/>
              </w:rPr>
              <w:t>consistirão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em mensurar </w:t>
            </w:r>
            <w:r w:rsidRPr="001D4C08">
              <w:rPr>
                <w:rFonts w:ascii="Calibri" w:eastAsia="Calibri" w:hAnsi="Calibri" w:cs="Times New Roman"/>
                <w:lang w:eastAsia="en-US"/>
              </w:rPr>
              <w:t>as participações em sala de aula, elaboração coletiva de textos, e apresentação de trabalhos coletivos e/ou individuais com a intenção de estimular a participação do acadêmico e possibilitar o seu desenvolvimento em diversas dimensões formativas e instrutivas. 2) No tocante às avaliações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fora do ambiente da sala de aula física</w:t>
            </w:r>
            <w:r w:rsidRPr="001D4C08">
              <w:rPr>
                <w:rFonts w:ascii="Calibri" w:eastAsia="Calibri" w:hAnsi="Calibri" w:cs="Times New Roman"/>
                <w:lang w:eastAsia="en-US"/>
              </w:rPr>
              <w:t>, solicitaremos fichamentos, produção de textos e de matérias áudio visuais, provas objetivas de múltiplas alternativas. Vale dizer, que como o ponto nevrálgico do processo de ensino-aprendizagem consiste na avaliação os instrumentos serão elaborados e/ou escolhidos juntamente com os discentes. Nesse contexto, provas orais, escritas, sinalizadas</w:t>
            </w:r>
            <w:r>
              <w:rPr>
                <w:rFonts w:ascii="Calibri" w:eastAsia="Calibri" w:hAnsi="Calibri" w:cs="Times New Roman"/>
                <w:lang w:eastAsia="en-US"/>
              </w:rPr>
              <w:t>,</w:t>
            </w:r>
            <w:r w:rsidRPr="001D4C08">
              <w:rPr>
                <w:rFonts w:ascii="Calibri" w:eastAsia="Calibri" w:hAnsi="Calibri" w:cs="Times New Roman"/>
                <w:lang w:eastAsia="en-US"/>
              </w:rPr>
              <w:t xml:space="preserve"> leitura de textos</w:t>
            </w:r>
            <w:r>
              <w:rPr>
                <w:rFonts w:ascii="Calibri" w:eastAsia="Calibri" w:hAnsi="Calibri" w:cs="Times New Roman"/>
                <w:lang w:eastAsia="en-US"/>
              </w:rPr>
              <w:t>,</w:t>
            </w:r>
            <w:r w:rsidRPr="001D4C08">
              <w:rPr>
                <w:rFonts w:ascii="Calibri" w:eastAsia="Calibri" w:hAnsi="Calibri" w:cs="Times New Roman"/>
                <w:lang w:eastAsia="en-US"/>
              </w:rPr>
              <w:t xml:space="preserve"> lista de atividades</w:t>
            </w:r>
            <w:r>
              <w:rPr>
                <w:rFonts w:ascii="Calibri" w:eastAsia="Calibri" w:hAnsi="Calibri" w:cs="Times New Roman"/>
                <w:lang w:eastAsia="en-US"/>
              </w:rPr>
              <w:t>,</w:t>
            </w:r>
            <w:r w:rsidRPr="001D4C08">
              <w:rPr>
                <w:rFonts w:ascii="Calibri" w:eastAsia="Calibri" w:hAnsi="Calibri" w:cs="Times New Roman"/>
                <w:lang w:eastAsia="en-US"/>
              </w:rPr>
              <w:t xml:space="preserve"> apresentação de trabalhos), que priorizem os processos de avaliação na forma progressiva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1D4C08">
              <w:rPr>
                <w:rFonts w:ascii="Calibri" w:eastAsia="Calibri" w:hAnsi="Calibri" w:cs="Times New Roman"/>
                <w:lang w:eastAsia="en-US"/>
              </w:rPr>
              <w:t xml:space="preserve">serão escolhidas de modo a se buscar a máxima possibilidade de se ajustar às necessidades específicas de cada acadêmico. E, por fim, cumpre mencionar que a frequência </w:t>
            </w: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>obedecerá o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 Regimento da Universidade Federal do Acre.</w:t>
            </w:r>
          </w:p>
        </w:tc>
      </w:tr>
      <w:tr w:rsidR="00306F06" w:rsidTr="001C32BB">
        <w:trPr>
          <w:trHeight w:val="313"/>
        </w:trPr>
        <w:tc>
          <w:tcPr>
            <w:tcW w:w="10000" w:type="dxa"/>
            <w:gridSpan w:val="7"/>
          </w:tcPr>
          <w:p w:rsidR="00306F06" w:rsidRPr="00010A14" w:rsidRDefault="00306F06" w:rsidP="00306F06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/>
                <w:sz w:val="24"/>
                <w:szCs w:val="24"/>
                <w:lang w:val="pt-BR"/>
              </w:rPr>
            </w:pPr>
            <w:r w:rsidRPr="00010A14">
              <w:rPr>
                <w:b/>
                <w:sz w:val="24"/>
                <w:szCs w:val="24"/>
                <w:lang w:val="pt-BR"/>
              </w:rPr>
              <w:t>8 Referências</w:t>
            </w:r>
          </w:p>
          <w:p w:rsidR="00306F06" w:rsidRPr="00010A14" w:rsidRDefault="00306F06" w:rsidP="00306F06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/>
                <w:sz w:val="24"/>
                <w:szCs w:val="24"/>
                <w:lang w:val="pt-BR"/>
              </w:rPr>
            </w:pPr>
          </w:p>
          <w:p w:rsidR="00306F06" w:rsidRDefault="00306F06" w:rsidP="00306F06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  <w:lang w:val="pt-BR"/>
              </w:rPr>
            </w:pPr>
            <w:proofErr w:type="spellStart"/>
            <w:r w:rsidRPr="00010A14">
              <w:rPr>
                <w:sz w:val="24"/>
                <w:szCs w:val="24"/>
                <w:lang w:val="pt-BR"/>
              </w:rPr>
              <w:t>Bibiografia</w:t>
            </w:r>
            <w:proofErr w:type="spellEnd"/>
            <w:r w:rsidRPr="00010A14">
              <w:rPr>
                <w:sz w:val="24"/>
                <w:szCs w:val="24"/>
                <w:lang w:val="pt-BR"/>
              </w:rPr>
              <w:t xml:space="preserve"> básica</w:t>
            </w:r>
          </w:p>
          <w:p w:rsidR="00306F06" w:rsidRDefault="00306F06" w:rsidP="00306F06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  <w:lang w:val="pt-BR"/>
              </w:rPr>
            </w:pPr>
            <w:r w:rsidRPr="00C632DA">
              <w:rPr>
                <w:sz w:val="24"/>
                <w:szCs w:val="24"/>
                <w:lang w:val="pt-BR"/>
              </w:rPr>
              <w:t>JESUS, Valdinei Vicente de. A ideia de boa vontade na fundamentação do dever moral em Kant. 2004. 91 f. Dissertação (Mestrado em Filosofia) – Programa de Pós-Graduação em Filosofia, Universidade Federal de Santa Maria (UFSM), Santa Maria, 2004.</w:t>
            </w:r>
          </w:p>
          <w:p w:rsidR="00306F06" w:rsidRDefault="00306F06" w:rsidP="00306F06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  <w:lang w:val="pt-BR"/>
              </w:rPr>
            </w:pPr>
            <w:r w:rsidRPr="00A24953">
              <w:rPr>
                <w:sz w:val="24"/>
                <w:szCs w:val="24"/>
                <w:lang w:val="pt-BR"/>
              </w:rPr>
              <w:t>_____</w:t>
            </w:r>
            <w:proofErr w:type="gramStart"/>
            <w:r w:rsidRPr="00A24953">
              <w:rPr>
                <w:sz w:val="24"/>
                <w:szCs w:val="24"/>
                <w:lang w:val="pt-BR"/>
              </w:rPr>
              <w:t>_.A</w:t>
            </w:r>
            <w:proofErr w:type="gramEnd"/>
            <w:r w:rsidRPr="00A24953">
              <w:rPr>
                <w:sz w:val="24"/>
                <w:szCs w:val="24"/>
                <w:lang w:val="pt-BR"/>
              </w:rPr>
              <w:t xml:space="preserve"> sóbria, porém limitada, proposta de uma </w:t>
            </w:r>
            <w:proofErr w:type="spellStart"/>
            <w:r w:rsidRPr="00A24953">
              <w:rPr>
                <w:sz w:val="24"/>
                <w:szCs w:val="24"/>
                <w:lang w:val="pt-BR"/>
              </w:rPr>
              <w:t>hermeneutização</w:t>
            </w:r>
            <w:proofErr w:type="spellEnd"/>
            <w:r w:rsidRPr="00A24953">
              <w:rPr>
                <w:sz w:val="24"/>
                <w:szCs w:val="24"/>
                <w:lang w:val="pt-BR"/>
              </w:rPr>
              <w:t xml:space="preserve"> da moral kantiana por </w:t>
            </w:r>
            <w:proofErr w:type="spellStart"/>
            <w:r w:rsidRPr="00A24953">
              <w:rPr>
                <w:sz w:val="24"/>
                <w:szCs w:val="24"/>
                <w:lang w:val="pt-BR"/>
              </w:rPr>
              <w:t>Jesús</w:t>
            </w:r>
            <w:proofErr w:type="spellEnd"/>
            <w:r w:rsidRPr="00A24953"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24953">
              <w:rPr>
                <w:sz w:val="24"/>
                <w:szCs w:val="24"/>
                <w:lang w:val="pt-BR"/>
              </w:rPr>
              <w:t>Conil</w:t>
            </w:r>
            <w:proofErr w:type="spellEnd"/>
            <w:r w:rsidRPr="00A24953">
              <w:rPr>
                <w:sz w:val="24"/>
                <w:szCs w:val="24"/>
                <w:lang w:val="pt-BR"/>
              </w:rPr>
              <w:t xml:space="preserve"> Sancho. In: CARNEIRO, José Vanderlei; SOUSA, José </w:t>
            </w:r>
            <w:proofErr w:type="spellStart"/>
            <w:r w:rsidRPr="00A24953">
              <w:rPr>
                <w:sz w:val="24"/>
                <w:szCs w:val="24"/>
                <w:lang w:val="pt-BR"/>
              </w:rPr>
              <w:t>Elielton</w:t>
            </w:r>
            <w:proofErr w:type="spellEnd"/>
            <w:r w:rsidRPr="00A24953">
              <w:rPr>
                <w:sz w:val="24"/>
                <w:szCs w:val="24"/>
                <w:lang w:val="pt-BR"/>
              </w:rPr>
              <w:t xml:space="preserve"> de; BRITO, </w:t>
            </w:r>
            <w:proofErr w:type="spellStart"/>
            <w:r w:rsidRPr="00A24953">
              <w:rPr>
                <w:sz w:val="24"/>
                <w:szCs w:val="24"/>
                <w:lang w:val="pt-BR"/>
              </w:rPr>
              <w:t>Herasmo</w:t>
            </w:r>
            <w:proofErr w:type="spellEnd"/>
            <w:r w:rsidRPr="00A24953">
              <w:rPr>
                <w:sz w:val="24"/>
                <w:szCs w:val="24"/>
                <w:lang w:val="pt-BR"/>
              </w:rPr>
              <w:t xml:space="preserve"> Braga </w:t>
            </w:r>
            <w:r w:rsidRPr="00A24953">
              <w:rPr>
                <w:sz w:val="24"/>
                <w:szCs w:val="24"/>
                <w:lang w:val="pt-BR"/>
              </w:rPr>
              <w:lastRenderedPageBreak/>
              <w:t>de Oliveira (</w:t>
            </w:r>
            <w:proofErr w:type="spellStart"/>
            <w:r w:rsidRPr="00A24953">
              <w:rPr>
                <w:sz w:val="24"/>
                <w:szCs w:val="24"/>
                <w:lang w:val="pt-BR"/>
              </w:rPr>
              <w:t>Orgs</w:t>
            </w:r>
            <w:proofErr w:type="spellEnd"/>
            <w:r w:rsidRPr="00A24953">
              <w:rPr>
                <w:sz w:val="24"/>
                <w:szCs w:val="24"/>
                <w:lang w:val="pt-BR"/>
              </w:rPr>
              <w:t xml:space="preserve">.). Hospitalidade hermenêutica na filosofia de Paul </w:t>
            </w:r>
            <w:proofErr w:type="spellStart"/>
            <w:r w:rsidRPr="00A24953">
              <w:rPr>
                <w:sz w:val="24"/>
                <w:szCs w:val="24"/>
                <w:lang w:val="pt-BR"/>
              </w:rPr>
              <w:t>Ricoeur</w:t>
            </w:r>
            <w:proofErr w:type="spellEnd"/>
            <w:r w:rsidRPr="00A24953">
              <w:rPr>
                <w:sz w:val="24"/>
                <w:szCs w:val="24"/>
                <w:lang w:val="pt-BR"/>
              </w:rPr>
              <w:t>. Porto Alegre: Editora Fundação Fênix; Teresina: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A24953">
              <w:rPr>
                <w:sz w:val="24"/>
                <w:szCs w:val="24"/>
                <w:lang w:val="pt-BR"/>
              </w:rPr>
              <w:t>EDUFPI, 2020.</w:t>
            </w:r>
            <w:r>
              <w:rPr>
                <w:sz w:val="24"/>
                <w:szCs w:val="24"/>
                <w:lang w:val="pt-BR"/>
              </w:rPr>
              <w:t xml:space="preserve"> p. 199-214.</w:t>
            </w:r>
          </w:p>
          <w:p w:rsidR="00306F06" w:rsidRPr="00C632DA" w:rsidRDefault="00306F06" w:rsidP="00306F06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  <w:lang w:val="pt-BR"/>
              </w:rPr>
            </w:pPr>
            <w:r w:rsidRPr="00A24953">
              <w:rPr>
                <w:sz w:val="24"/>
                <w:szCs w:val="24"/>
                <w:lang w:val="pt-BR"/>
              </w:rPr>
              <w:t xml:space="preserve">______. Hermenêutica entre filosofia e literatura. </w:t>
            </w:r>
            <w:proofErr w:type="spellStart"/>
            <w:r w:rsidRPr="00A24953">
              <w:rPr>
                <w:sz w:val="24"/>
                <w:szCs w:val="24"/>
                <w:lang w:val="pt-BR"/>
              </w:rPr>
              <w:t>Dissertatio</w:t>
            </w:r>
            <w:proofErr w:type="spellEnd"/>
            <w:r w:rsidRPr="00A24953">
              <w:rPr>
                <w:sz w:val="24"/>
                <w:szCs w:val="24"/>
                <w:lang w:val="pt-BR"/>
              </w:rPr>
              <w:t>. v. suplementar 8, p. 100-123, 2018.</w:t>
            </w:r>
          </w:p>
          <w:p w:rsidR="00306F06" w:rsidRDefault="00306F06" w:rsidP="00306F06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  <w:lang w:val="pt-BR"/>
              </w:rPr>
            </w:pPr>
            <w:r w:rsidRPr="00C632DA">
              <w:rPr>
                <w:sz w:val="24"/>
                <w:szCs w:val="24"/>
                <w:lang w:val="pt-BR"/>
              </w:rPr>
              <w:t xml:space="preserve">______. Poética da vontade: uma ética hermenêutica na perspectiva de Paul </w:t>
            </w:r>
            <w:proofErr w:type="spellStart"/>
            <w:r w:rsidRPr="00C632DA">
              <w:rPr>
                <w:sz w:val="24"/>
                <w:szCs w:val="24"/>
                <w:lang w:val="pt-BR"/>
              </w:rPr>
              <w:t>Ricoeur</w:t>
            </w:r>
            <w:proofErr w:type="spellEnd"/>
            <w:r w:rsidRPr="00C632DA">
              <w:rPr>
                <w:sz w:val="24"/>
                <w:szCs w:val="24"/>
                <w:lang w:val="pt-BR"/>
              </w:rPr>
              <w:t>. 2018.164 f. Tese (Doutorado em Filosofia) – Programa de Pós-Graduação em Filosofia, Universidade do Vale do Rio dos Sinos (UNISINOS), São Leopoldo, 2018.</w:t>
            </w:r>
          </w:p>
          <w:p w:rsidR="00306F06" w:rsidRDefault="00306F06" w:rsidP="00306F06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  <w:lang w:val="pt-BR"/>
              </w:rPr>
            </w:pPr>
            <w:r w:rsidRPr="00C632DA">
              <w:rPr>
                <w:sz w:val="24"/>
                <w:szCs w:val="24"/>
                <w:lang w:val="pt-BR"/>
              </w:rPr>
              <w:t>______. A (</w:t>
            </w:r>
            <w:proofErr w:type="spellStart"/>
            <w:r w:rsidRPr="00C632DA">
              <w:rPr>
                <w:sz w:val="24"/>
                <w:szCs w:val="24"/>
                <w:lang w:val="pt-BR"/>
              </w:rPr>
              <w:t>im</w:t>
            </w:r>
            <w:proofErr w:type="spellEnd"/>
            <w:r w:rsidRPr="00C632DA">
              <w:rPr>
                <w:sz w:val="24"/>
                <w:szCs w:val="24"/>
                <w:lang w:val="pt-BR"/>
              </w:rPr>
              <w:t xml:space="preserve">)possibilidade do “conhecimento” de Deus em Kant: O Sumo Bem, objeto necessário da Razão. </w:t>
            </w:r>
            <w:proofErr w:type="spellStart"/>
            <w:r w:rsidRPr="00C632DA">
              <w:rPr>
                <w:sz w:val="24"/>
                <w:szCs w:val="24"/>
                <w:lang w:val="pt-BR"/>
              </w:rPr>
              <w:t>Veritas</w:t>
            </w:r>
            <w:proofErr w:type="spellEnd"/>
            <w:r w:rsidRPr="00C632DA">
              <w:rPr>
                <w:sz w:val="24"/>
                <w:szCs w:val="24"/>
                <w:lang w:val="pt-BR"/>
              </w:rPr>
              <w:t>, v. 61, n. 3, p. 440-455, set-dez, 2016.</w:t>
            </w:r>
          </w:p>
          <w:p w:rsidR="00306F06" w:rsidRDefault="00306F06" w:rsidP="00306F06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  <w:lang w:val="pt-BR"/>
              </w:rPr>
            </w:pPr>
            <w:r w:rsidRPr="00C632DA">
              <w:rPr>
                <w:sz w:val="24"/>
                <w:szCs w:val="24"/>
                <w:lang w:val="pt-BR"/>
              </w:rPr>
              <w:t xml:space="preserve">RICOEUR, Paul. O </w:t>
            </w:r>
            <w:proofErr w:type="spellStart"/>
            <w:r w:rsidRPr="00C632DA">
              <w:rPr>
                <w:sz w:val="24"/>
                <w:szCs w:val="24"/>
                <w:lang w:val="pt-BR"/>
              </w:rPr>
              <w:t>si-mesmo</w:t>
            </w:r>
            <w:proofErr w:type="spellEnd"/>
            <w:r w:rsidRPr="00C632DA">
              <w:rPr>
                <w:sz w:val="24"/>
                <w:szCs w:val="24"/>
                <w:lang w:val="pt-BR"/>
              </w:rPr>
              <w:t xml:space="preserve"> como um outro. Trad. Lucy Moreira César. São Paulo: Papirus, 1991.</w:t>
            </w:r>
          </w:p>
          <w:p w:rsidR="00306F06" w:rsidRPr="00483DB6" w:rsidRDefault="00306F06" w:rsidP="00306F06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ROSSATTO, </w:t>
            </w:r>
            <w:proofErr w:type="spellStart"/>
            <w:r>
              <w:rPr>
                <w:sz w:val="24"/>
                <w:szCs w:val="24"/>
                <w:lang w:val="pt-BR"/>
              </w:rPr>
              <w:t>Noeli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Dutra. A </w:t>
            </w:r>
            <w:proofErr w:type="spellStart"/>
            <w:r>
              <w:rPr>
                <w:sz w:val="24"/>
                <w:szCs w:val="24"/>
                <w:lang w:val="pt-BR"/>
              </w:rPr>
              <w:t>antropoiética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de Paul </w:t>
            </w:r>
            <w:proofErr w:type="spellStart"/>
            <w:r>
              <w:rPr>
                <w:sz w:val="24"/>
                <w:szCs w:val="24"/>
                <w:lang w:val="pt-BR"/>
              </w:rPr>
              <w:t>Ricoeur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. </w:t>
            </w:r>
            <w:r w:rsidRPr="00B91BBB">
              <w:rPr>
                <w:sz w:val="24"/>
                <w:szCs w:val="24"/>
                <w:lang w:val="en-US"/>
              </w:rPr>
              <w:t>In: TI</w:t>
            </w:r>
            <w:r>
              <w:rPr>
                <w:sz w:val="24"/>
                <w:szCs w:val="24"/>
                <w:lang w:val="en-US"/>
              </w:rPr>
              <w:t xml:space="preserve">ELLET, Claudia; CARRÉ, Douglas (Orgs). </w:t>
            </w:r>
            <w:proofErr w:type="spellStart"/>
            <w:r>
              <w:rPr>
                <w:sz w:val="24"/>
                <w:szCs w:val="24"/>
                <w:lang w:val="pt-BR"/>
              </w:rPr>
              <w:t>Ricoeur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em perspectivas [recurso eletrônico]. Porto Alegre: Editora </w:t>
            </w:r>
            <w:proofErr w:type="spellStart"/>
            <w:r>
              <w:rPr>
                <w:sz w:val="24"/>
                <w:szCs w:val="24"/>
                <w:lang w:val="pt-BR"/>
              </w:rPr>
              <w:t>Fi</w:t>
            </w:r>
            <w:proofErr w:type="spellEnd"/>
            <w:r>
              <w:rPr>
                <w:sz w:val="24"/>
                <w:szCs w:val="24"/>
                <w:lang w:val="pt-BR"/>
              </w:rPr>
              <w:t>, 2020. 143-163.</w:t>
            </w:r>
          </w:p>
          <w:p w:rsidR="00306F06" w:rsidRDefault="00306F06" w:rsidP="00306F06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  <w:lang w:val="pt-BR"/>
              </w:rPr>
            </w:pPr>
            <w:r w:rsidRPr="00483DB6">
              <w:rPr>
                <w:sz w:val="24"/>
                <w:szCs w:val="24"/>
                <w:lang w:val="pt-BR"/>
              </w:rPr>
              <w:t xml:space="preserve">SÓFOCLES. A trilogia tebana: Édipo Rei, Édipo em Colono, Antígona. Trad. Mário da Gama </w:t>
            </w:r>
            <w:proofErr w:type="spellStart"/>
            <w:r w:rsidRPr="00483DB6">
              <w:rPr>
                <w:sz w:val="24"/>
                <w:szCs w:val="24"/>
                <w:lang w:val="pt-BR"/>
              </w:rPr>
              <w:t>Kury</w:t>
            </w:r>
            <w:proofErr w:type="spellEnd"/>
            <w:r w:rsidRPr="00483DB6">
              <w:rPr>
                <w:sz w:val="24"/>
                <w:szCs w:val="24"/>
                <w:lang w:val="pt-BR"/>
              </w:rPr>
              <w:t>. Rio de Janeiro: Zahar, 1990.</w:t>
            </w:r>
          </w:p>
          <w:p w:rsidR="00306F06" w:rsidRPr="00010A14" w:rsidRDefault="00306F06" w:rsidP="00306F06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  <w:lang w:val="pt-BR"/>
              </w:rPr>
            </w:pPr>
          </w:p>
          <w:p w:rsidR="00306F06" w:rsidRPr="00010A14" w:rsidRDefault="00306F06" w:rsidP="00306F06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  <w:lang w:val="pt-BR"/>
              </w:rPr>
            </w:pPr>
            <w:r w:rsidRPr="00010A14">
              <w:rPr>
                <w:sz w:val="24"/>
                <w:szCs w:val="24"/>
                <w:lang w:val="pt-BR"/>
              </w:rPr>
              <w:t>Bibliografia complementar</w:t>
            </w:r>
          </w:p>
          <w:p w:rsidR="00306F06" w:rsidRDefault="00306F06" w:rsidP="00306F06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AUBENQUE, Pierre. A prudência em Aristóteles. Trad. de Marisa Lopes. São Paulo: Discurso Editorial, 2003.</w:t>
            </w:r>
          </w:p>
          <w:p w:rsidR="00306F06" w:rsidRDefault="00306F06" w:rsidP="00306F06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  <w:lang w:val="pt-BR"/>
              </w:rPr>
            </w:pPr>
            <w:r w:rsidRPr="00C632DA">
              <w:rPr>
                <w:sz w:val="24"/>
                <w:szCs w:val="24"/>
                <w:lang w:val="pt-BR"/>
              </w:rPr>
              <w:t xml:space="preserve">ARISTÓTELES. Ética a </w:t>
            </w:r>
            <w:proofErr w:type="spellStart"/>
            <w:r w:rsidRPr="00C632DA">
              <w:rPr>
                <w:sz w:val="24"/>
                <w:szCs w:val="24"/>
                <w:lang w:val="pt-BR"/>
              </w:rPr>
              <w:t>nicômaco</w:t>
            </w:r>
            <w:proofErr w:type="spellEnd"/>
            <w:r w:rsidRPr="00C632DA">
              <w:rPr>
                <w:sz w:val="24"/>
                <w:szCs w:val="24"/>
                <w:lang w:val="pt-BR"/>
              </w:rPr>
              <w:t xml:space="preserve">. Tradução da versão inglesa de W. D. Ross por Leonel </w:t>
            </w:r>
            <w:proofErr w:type="spellStart"/>
            <w:r w:rsidRPr="00C632DA">
              <w:rPr>
                <w:sz w:val="24"/>
                <w:szCs w:val="24"/>
                <w:lang w:val="pt-BR"/>
              </w:rPr>
              <w:t>Vallandro</w:t>
            </w:r>
            <w:proofErr w:type="spellEnd"/>
            <w:r w:rsidRPr="00C632DA">
              <w:rPr>
                <w:sz w:val="24"/>
                <w:szCs w:val="24"/>
                <w:lang w:val="pt-BR"/>
              </w:rPr>
              <w:t xml:space="preserve"> e Gerd </w:t>
            </w:r>
            <w:proofErr w:type="spellStart"/>
            <w:r w:rsidRPr="00C632DA">
              <w:rPr>
                <w:sz w:val="24"/>
                <w:szCs w:val="24"/>
                <w:lang w:val="pt-BR"/>
              </w:rPr>
              <w:t>Bornheim</w:t>
            </w:r>
            <w:proofErr w:type="spellEnd"/>
            <w:r w:rsidRPr="00C632DA">
              <w:rPr>
                <w:sz w:val="24"/>
                <w:szCs w:val="24"/>
                <w:lang w:val="pt-BR"/>
              </w:rPr>
              <w:t>. São Paulo: Abril Cultural, 1984. (Coleção Os Pensadores)</w:t>
            </w:r>
          </w:p>
          <w:p w:rsidR="00306F06" w:rsidRPr="00A350AF" w:rsidRDefault="00306F06" w:rsidP="00306F06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  <w:lang w:val="pt-BR"/>
              </w:rPr>
            </w:pPr>
            <w:r w:rsidRPr="00A350AF">
              <w:rPr>
                <w:sz w:val="24"/>
                <w:szCs w:val="24"/>
                <w:lang w:val="pt-BR"/>
              </w:rPr>
              <w:t xml:space="preserve">CASTRO, Maria Gabriela Azevedo e. Imaginação em Paul </w:t>
            </w:r>
            <w:proofErr w:type="spellStart"/>
            <w:r w:rsidRPr="00A350AF">
              <w:rPr>
                <w:sz w:val="24"/>
                <w:szCs w:val="24"/>
                <w:lang w:val="pt-BR"/>
              </w:rPr>
              <w:t>Ricoeur</w:t>
            </w:r>
            <w:proofErr w:type="spellEnd"/>
            <w:r w:rsidRPr="00A350AF">
              <w:rPr>
                <w:sz w:val="24"/>
                <w:szCs w:val="24"/>
                <w:lang w:val="pt-BR"/>
              </w:rPr>
              <w:t>. Lisboa: Instituto Piaget, 2002.</w:t>
            </w:r>
          </w:p>
          <w:p w:rsidR="00306F06" w:rsidRDefault="00306F06" w:rsidP="00306F06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  <w:lang w:val="pt-BR"/>
              </w:rPr>
            </w:pPr>
            <w:r w:rsidRPr="00A350AF">
              <w:rPr>
                <w:sz w:val="24"/>
                <w:szCs w:val="24"/>
                <w:lang w:val="pt-BR"/>
              </w:rPr>
              <w:t xml:space="preserve">CASTRO, Fabio Caprio Leite de. Da fenomenologia à Hermenêutica: o paradigma do mundo do texto de Paul </w:t>
            </w:r>
            <w:proofErr w:type="spellStart"/>
            <w:r w:rsidRPr="00A350AF">
              <w:rPr>
                <w:sz w:val="24"/>
                <w:szCs w:val="24"/>
                <w:lang w:val="pt-BR"/>
              </w:rPr>
              <w:t>Ricoeur</w:t>
            </w:r>
            <w:proofErr w:type="spellEnd"/>
            <w:r w:rsidRPr="00A350AF">
              <w:rPr>
                <w:sz w:val="24"/>
                <w:szCs w:val="24"/>
                <w:lang w:val="pt-BR"/>
              </w:rPr>
              <w:t xml:space="preserve">. In: SOUZA, </w:t>
            </w:r>
            <w:proofErr w:type="spellStart"/>
            <w:r w:rsidRPr="00A350AF">
              <w:rPr>
                <w:sz w:val="24"/>
                <w:szCs w:val="24"/>
                <w:lang w:val="pt-BR"/>
              </w:rPr>
              <w:t>Draiton</w:t>
            </w:r>
            <w:proofErr w:type="spellEnd"/>
            <w:r w:rsidRPr="00A350AF">
              <w:rPr>
                <w:sz w:val="24"/>
                <w:szCs w:val="24"/>
                <w:lang w:val="pt-BR"/>
              </w:rPr>
              <w:t xml:space="preserve"> Gonzaga de; LIMA, Francisco </w:t>
            </w:r>
            <w:proofErr w:type="spellStart"/>
            <w:r w:rsidRPr="00A350AF">
              <w:rPr>
                <w:sz w:val="24"/>
                <w:szCs w:val="24"/>
                <w:lang w:val="pt-BR"/>
              </w:rPr>
              <w:t>Josivan</w:t>
            </w:r>
            <w:proofErr w:type="spellEnd"/>
            <w:r w:rsidRPr="00A350AF">
              <w:rPr>
                <w:sz w:val="24"/>
                <w:szCs w:val="24"/>
                <w:lang w:val="pt-BR"/>
              </w:rPr>
              <w:t xml:space="preserve"> Guedes de (Org.). Filosofia e interdisciplinaridade: </w:t>
            </w:r>
            <w:proofErr w:type="spellStart"/>
            <w:r w:rsidRPr="00A350AF">
              <w:rPr>
                <w:sz w:val="24"/>
                <w:szCs w:val="24"/>
                <w:lang w:val="pt-BR"/>
              </w:rPr>
              <w:t>Festschrift</w:t>
            </w:r>
            <w:proofErr w:type="spellEnd"/>
            <w:r w:rsidRPr="00A350AF">
              <w:rPr>
                <w:sz w:val="24"/>
                <w:szCs w:val="24"/>
                <w:lang w:val="pt-BR"/>
              </w:rPr>
              <w:t xml:space="preserve"> em homenagem a </w:t>
            </w:r>
            <w:proofErr w:type="spellStart"/>
            <w:r w:rsidRPr="00A350AF">
              <w:rPr>
                <w:sz w:val="24"/>
                <w:szCs w:val="24"/>
                <w:lang w:val="pt-BR"/>
              </w:rPr>
              <w:t>Agemir</w:t>
            </w:r>
            <w:proofErr w:type="spellEnd"/>
            <w:r w:rsidRPr="00A350AF"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350AF">
              <w:rPr>
                <w:sz w:val="24"/>
                <w:szCs w:val="24"/>
                <w:lang w:val="pt-BR"/>
              </w:rPr>
              <w:t>Bavaresco</w:t>
            </w:r>
            <w:proofErr w:type="spellEnd"/>
            <w:r w:rsidRPr="00A350AF">
              <w:rPr>
                <w:sz w:val="24"/>
                <w:szCs w:val="24"/>
                <w:lang w:val="pt-BR"/>
              </w:rPr>
              <w:t>. Porto Alegre: Editora FI, 2015. p. 183-197.</w:t>
            </w:r>
          </w:p>
          <w:p w:rsidR="00306F06" w:rsidRPr="00C632DA" w:rsidRDefault="00306F06" w:rsidP="00306F06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  <w:lang w:val="pt-BR"/>
              </w:rPr>
            </w:pPr>
            <w:r w:rsidRPr="00C632DA">
              <w:rPr>
                <w:sz w:val="24"/>
                <w:szCs w:val="24"/>
                <w:lang w:val="pt-BR"/>
              </w:rPr>
              <w:t>KANT, Immanuel.  Fundamentação da Metafísica dos Costumes. Trad. de Paulo Quintela. Lisboa: Edições 70, 1995.</w:t>
            </w:r>
          </w:p>
          <w:p w:rsidR="00306F06" w:rsidRDefault="00306F06" w:rsidP="00306F06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  <w:lang w:val="pt-BR"/>
              </w:rPr>
            </w:pPr>
            <w:r w:rsidRPr="00C632DA">
              <w:rPr>
                <w:sz w:val="24"/>
                <w:szCs w:val="24"/>
                <w:lang w:val="pt-BR"/>
              </w:rPr>
              <w:t xml:space="preserve">______. Crítica da Razão Prática. Trad. de Valério </w:t>
            </w:r>
            <w:proofErr w:type="spellStart"/>
            <w:r w:rsidRPr="00C632DA">
              <w:rPr>
                <w:sz w:val="24"/>
                <w:szCs w:val="24"/>
                <w:lang w:val="pt-BR"/>
              </w:rPr>
              <w:t>Rohden</w:t>
            </w:r>
            <w:proofErr w:type="spellEnd"/>
            <w:r w:rsidRPr="00C632DA">
              <w:rPr>
                <w:sz w:val="24"/>
                <w:szCs w:val="24"/>
                <w:lang w:val="pt-BR"/>
              </w:rPr>
              <w:t>. São Paulo: Martins Fontes, 2002.</w:t>
            </w:r>
          </w:p>
          <w:p w:rsidR="00306F06" w:rsidRPr="00C632DA" w:rsidRDefault="00306F06" w:rsidP="00306F06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  <w:lang w:val="pt-BR"/>
              </w:rPr>
            </w:pPr>
            <w:r w:rsidRPr="00C632DA">
              <w:rPr>
                <w:sz w:val="24"/>
                <w:szCs w:val="24"/>
                <w:lang w:val="pt-BR"/>
              </w:rPr>
              <w:t>RICOEUR, Paul. O justo 1 - A justiça como regra moral e como instituição. Trad. Ivone C. Benedetti. São Paulo: Martins Fontes, 2008a.</w:t>
            </w:r>
          </w:p>
          <w:p w:rsidR="00306F06" w:rsidRPr="00C632DA" w:rsidRDefault="00306F06" w:rsidP="00306F06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  <w:lang w:val="pt-BR"/>
              </w:rPr>
            </w:pPr>
            <w:r w:rsidRPr="00C632DA">
              <w:rPr>
                <w:sz w:val="24"/>
                <w:szCs w:val="24"/>
                <w:lang w:val="pt-BR"/>
              </w:rPr>
              <w:t>______. O justo 2 - Justiça e verdade e outros estudos. Trad. Ivone C. Benedetti. São Paulo: Martins Fontes, 2008b.</w:t>
            </w:r>
          </w:p>
          <w:p w:rsidR="00306F06" w:rsidRPr="00C632DA" w:rsidRDefault="00306F06" w:rsidP="00306F06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  <w:lang w:val="pt-BR"/>
              </w:rPr>
            </w:pPr>
            <w:r w:rsidRPr="00C632DA">
              <w:rPr>
                <w:sz w:val="24"/>
                <w:szCs w:val="24"/>
                <w:lang w:val="pt-BR"/>
              </w:rPr>
              <w:t xml:space="preserve">______. Na escola da fenomenologia. Trad. </w:t>
            </w:r>
            <w:proofErr w:type="spellStart"/>
            <w:r w:rsidRPr="00C632DA">
              <w:rPr>
                <w:sz w:val="24"/>
                <w:szCs w:val="24"/>
                <w:lang w:val="pt-BR"/>
              </w:rPr>
              <w:t>Ephraim</w:t>
            </w:r>
            <w:proofErr w:type="spellEnd"/>
            <w:r w:rsidRPr="00C632DA">
              <w:rPr>
                <w:sz w:val="24"/>
                <w:szCs w:val="24"/>
                <w:lang w:val="pt-BR"/>
              </w:rPr>
              <w:t xml:space="preserve"> Ferreira Alves. Rio de Janeiro: Editora Vozes, 2009.</w:t>
            </w:r>
          </w:p>
          <w:p w:rsidR="00306F06" w:rsidRPr="00010A14" w:rsidRDefault="00306F06" w:rsidP="00306F06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  <w:lang w:val="en-US"/>
              </w:rPr>
            </w:pPr>
            <w:r w:rsidRPr="00C632DA">
              <w:rPr>
                <w:sz w:val="24"/>
                <w:szCs w:val="24"/>
                <w:lang w:val="pt-BR"/>
              </w:rPr>
              <w:t xml:space="preserve">______. Percurso do reconhecimento. Trad. Nicolas </w:t>
            </w:r>
            <w:proofErr w:type="spellStart"/>
            <w:r w:rsidRPr="00C632DA">
              <w:rPr>
                <w:sz w:val="24"/>
                <w:szCs w:val="24"/>
                <w:lang w:val="pt-BR"/>
              </w:rPr>
              <w:t>Nyimi</w:t>
            </w:r>
            <w:proofErr w:type="spellEnd"/>
            <w:r w:rsidRPr="00C632DA">
              <w:rPr>
                <w:sz w:val="24"/>
                <w:szCs w:val="24"/>
                <w:lang w:val="pt-BR"/>
              </w:rPr>
              <w:t xml:space="preserve"> Campanário. </w:t>
            </w:r>
            <w:r w:rsidRPr="00C632DA">
              <w:rPr>
                <w:sz w:val="24"/>
                <w:szCs w:val="24"/>
                <w:lang w:val="en-US"/>
              </w:rPr>
              <w:t xml:space="preserve">São Paulo: </w:t>
            </w:r>
            <w:proofErr w:type="spellStart"/>
            <w:r w:rsidRPr="00C632DA">
              <w:rPr>
                <w:sz w:val="24"/>
                <w:szCs w:val="24"/>
                <w:lang w:val="en-US"/>
              </w:rPr>
              <w:t>Edições</w:t>
            </w:r>
            <w:proofErr w:type="spellEnd"/>
            <w:r w:rsidRPr="00C632DA">
              <w:rPr>
                <w:sz w:val="24"/>
                <w:szCs w:val="24"/>
                <w:lang w:val="en-US"/>
              </w:rPr>
              <w:t xml:space="preserve"> Loyola, 2006.</w:t>
            </w:r>
          </w:p>
          <w:p w:rsidR="00306F06" w:rsidRPr="00010A14" w:rsidRDefault="00306F06" w:rsidP="00306F06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306F06">
        <w:trPr>
          <w:trHeight w:val="313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06F06" w:rsidRDefault="00306F06" w:rsidP="00306F06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lastRenderedPageBreak/>
              <w:t>Observações:</w:t>
            </w:r>
          </w:p>
          <w:p w:rsidR="00306F06" w:rsidRDefault="00306F06" w:rsidP="00306F06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306F06">
        <w:trPr>
          <w:trHeight w:val="313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06F06" w:rsidRDefault="00306F06" w:rsidP="00306F06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Aprovação no Colegiado de Curso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(Regimento Geral da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Ufac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</w:rPr>
              <w:t>, Art. 70, inciso II).</w:t>
            </w:r>
          </w:p>
          <w:p w:rsidR="00306F06" w:rsidRDefault="00306F06" w:rsidP="00306F06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306F06" w:rsidRDefault="00306F06" w:rsidP="00306F06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Data: </w:t>
            </w:r>
          </w:p>
          <w:p w:rsidR="00306F06" w:rsidRDefault="00306F06" w:rsidP="00306F06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306F06" w:rsidRDefault="00306F06" w:rsidP="00306F06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i/>
                <w:sz w:val="22"/>
                <w:szCs w:val="22"/>
              </w:rPr>
              <w:t>Assinatura do(a) Professor(a)</w:t>
            </w:r>
          </w:p>
        </w:tc>
      </w:tr>
    </w:tbl>
    <w:p w:rsidR="00DD0AF0" w:rsidRDefault="00DD0AF0">
      <w:pPr>
        <w:spacing w:line="360" w:lineRule="auto"/>
        <w:jc w:val="both"/>
        <w:rPr>
          <w:rFonts w:ascii="Garamond" w:eastAsia="Garamond" w:hAnsi="Garamond" w:cs="Garamond"/>
          <w:sz w:val="22"/>
          <w:szCs w:val="22"/>
        </w:rPr>
      </w:pPr>
    </w:p>
    <w:p w:rsidR="00DD0AF0" w:rsidRDefault="00DD0AF0">
      <w:pPr>
        <w:spacing w:line="360" w:lineRule="auto"/>
        <w:jc w:val="both"/>
        <w:rPr>
          <w:rFonts w:ascii="Garamond" w:eastAsia="Garamond" w:hAnsi="Garamond" w:cs="Garamond"/>
          <w:sz w:val="22"/>
          <w:szCs w:val="22"/>
        </w:rPr>
      </w:pPr>
    </w:p>
    <w:sectPr w:rsidR="00DD0AF0">
      <w:pgSz w:w="11907" w:h="16840"/>
      <w:pgMar w:top="851" w:right="1418" w:bottom="709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AF0"/>
    <w:rsid w:val="000A4FDF"/>
    <w:rsid w:val="001D4C08"/>
    <w:rsid w:val="002540E0"/>
    <w:rsid w:val="00306F06"/>
    <w:rsid w:val="007E0FD4"/>
    <w:rsid w:val="00864C3C"/>
    <w:rsid w:val="009D20DC"/>
    <w:rsid w:val="00A27285"/>
    <w:rsid w:val="00DA271F"/>
    <w:rsid w:val="00DD0AF0"/>
    <w:rsid w:val="00E8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3B28"/>
  <w15:docId w15:val="{F97F1658-1270-4A52-908E-07E86695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0A4FD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64C3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ldinei.jesus@ufa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1CFA5-180B-4401-B3F2-5FD469A2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1367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11</cp:revision>
  <dcterms:created xsi:type="dcterms:W3CDTF">2022-06-19T16:22:00Z</dcterms:created>
  <dcterms:modified xsi:type="dcterms:W3CDTF">2022-06-19T21:45:00Z</dcterms:modified>
</cp:coreProperties>
</file>